
<file path=[Content_Types].xml><?xml version="1.0" encoding="utf-8"?>
<Types xmlns="http://schemas.openxmlformats.org/package/2006/content-types">
  <Default Extension="xml" ContentType="application/xml"/>
  <Default Extension="xlsx" ContentType="application/vnd.openxmlformats-officedocument.spreadsheetml.sheet"/>
  <Default Extension="wdp" ContentType="image/vnd.ms-photo"/>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after="0"/>
        <w:jc w:val="center"/>
        <w:rPr>
          <w:rFonts w:ascii="Berlin Sans FB Demi" w:hAnsi="Berlin Sans FB Demi"/>
          <w:b/>
          <w:sz w:val="44"/>
          <w:szCs w:val="44"/>
        </w:rPr>
      </w:pPr>
    </w:p>
    <w:p>
      <w:pPr>
        <w:spacing w:after="0"/>
        <w:jc w:val="center"/>
        <w:rPr>
          <w:rFonts w:ascii="Berlin Sans FB Demi" w:hAnsi="Berlin Sans FB Demi"/>
          <w:b/>
          <w:sz w:val="44"/>
          <w:szCs w:val="44"/>
          <w:lang w:val="id-ID"/>
        </w:rPr>
      </w:pPr>
      <w:r>
        <w:rPr>
          <w:rFonts w:ascii="Berlin Sans FB Demi" w:hAnsi="Berlin Sans FB Demi"/>
          <w:b/>
          <w:sz w:val="44"/>
          <w:szCs w:val="44"/>
        </w:rPr>
        <w:t xml:space="preserve">Rencana Strategis Bisnis </w:t>
      </w:r>
    </w:p>
    <w:p>
      <w:pPr>
        <w:spacing w:after="0"/>
        <w:jc w:val="center"/>
        <w:rPr>
          <w:rFonts w:ascii="Berlin Sans FB Demi" w:hAnsi="Berlin Sans FB Demi"/>
          <w:b/>
          <w:sz w:val="44"/>
          <w:szCs w:val="44"/>
          <w:lang w:val="id-ID"/>
        </w:rPr>
      </w:pPr>
      <w:r>
        <w:rPr>
          <w:rFonts w:ascii="Berlin Sans FB Demi" w:hAnsi="Berlin Sans FB Demi"/>
          <w:b/>
          <w:sz w:val="44"/>
          <w:szCs w:val="44"/>
          <w:lang w:val="id-ID"/>
        </w:rPr>
        <w:t xml:space="preserve">Academic Health Center (AHC) </w:t>
      </w:r>
    </w:p>
    <w:p>
      <w:pPr>
        <w:spacing w:after="0"/>
        <w:jc w:val="center"/>
        <w:rPr>
          <w:rFonts w:ascii="Berlin Sans FB Demi" w:hAnsi="Berlin Sans FB Demi"/>
          <w:b/>
          <w:sz w:val="40"/>
          <w:szCs w:val="36"/>
        </w:rPr>
      </w:pPr>
      <w:r>
        <w:rPr>
          <w:rFonts w:ascii="Berlin Sans FB Demi" w:hAnsi="Berlin Sans FB Demi"/>
          <w:b/>
          <w:sz w:val="44"/>
          <w:szCs w:val="44"/>
          <w:lang w:val="id-ID"/>
        </w:rPr>
        <w:t xml:space="preserve">RSUP Dr. Hasan Sadikin Bandung </w:t>
      </w:r>
      <w:r>
        <w:rPr>
          <w:rFonts w:ascii="Berlin Sans FB Demi" w:hAnsi="Berlin Sans FB Demi"/>
          <w:b/>
          <w:sz w:val="40"/>
          <w:szCs w:val="36"/>
        </w:rPr>
        <w:t>2015-2019</w:t>
      </w:r>
    </w:p>
    <w:p>
      <w:pPr>
        <w:spacing w:after="0"/>
        <w:jc w:val="center"/>
        <w:rPr>
          <w:rFonts w:ascii="Berlin Sans FB Demi" w:hAnsi="Berlin Sans FB Demi"/>
          <w:b/>
          <w:sz w:val="40"/>
          <w:szCs w:val="36"/>
          <w:lang w:val="id-ID"/>
        </w:rPr>
      </w:pPr>
      <w:r>
        <w:rPr>
          <w:rFonts w:ascii="Berlin Sans FB Demi" w:hAnsi="Berlin Sans FB Demi"/>
          <w:b/>
          <w:sz w:val="40"/>
          <w:szCs w:val="36"/>
          <w:lang w:val="id-ID"/>
        </w:rPr>
        <w:t>(Hasil Review Desember 201</w:t>
      </w:r>
      <w:r>
        <w:rPr>
          <w:rFonts w:ascii="Berlin Sans FB Demi" w:hAnsi="Berlin Sans FB Demi"/>
          <w:b/>
          <w:sz w:val="40"/>
          <w:szCs w:val="36"/>
        </w:rPr>
        <w:t>7</w:t>
      </w:r>
      <w:r>
        <w:rPr>
          <w:rFonts w:ascii="Berlin Sans FB Demi" w:hAnsi="Berlin Sans FB Demi"/>
          <w:b/>
          <w:sz w:val="40"/>
          <w:szCs w:val="36"/>
          <w:lang w:val="id-ID"/>
        </w:rPr>
        <w:t>)</w:t>
      </w:r>
    </w:p>
    <w:p>
      <w:pPr>
        <w:spacing w:after="0"/>
        <w:jc w:val="center"/>
        <w:rPr>
          <w:rFonts w:ascii="Berlin Sans FB Demi" w:hAnsi="Berlin Sans FB Demi"/>
          <w:b/>
          <w:sz w:val="40"/>
          <w:szCs w:val="36"/>
        </w:rPr>
      </w:pPr>
      <w:r>
        <w:rPr>
          <w:rFonts w:ascii="Berlin Sans FB Demi" w:hAnsi="Berlin Sans FB Demi"/>
          <w:b/>
          <w:sz w:val="32"/>
          <w:szCs w:val="36"/>
          <w:lang w:val="id-ID" w:eastAsia="id-ID"/>
        </w:rPr>
        <w:drawing>
          <wp:anchor distT="0" distB="0" distL="114300" distR="114300" simplePos="0" relativeHeight="251672576" behindDoc="1" locked="0" layoutInCell="1" allowOverlap="1">
            <wp:simplePos x="0" y="0"/>
            <wp:positionH relativeFrom="margin">
              <wp:posOffset>2370455</wp:posOffset>
            </wp:positionH>
            <wp:positionV relativeFrom="paragraph">
              <wp:posOffset>31115</wp:posOffset>
            </wp:positionV>
            <wp:extent cx="4263390" cy="2079625"/>
            <wp:effectExtent l="0" t="0" r="3810" b="0"/>
            <wp:wrapNone/>
            <wp:docPr id="17" name="Picture 17" descr="C:\chacha\PMO\Renstra\gamba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chacha\PMO\Renstra\gambar\download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63655" cy="2079699"/>
                    </a:xfrm>
                    <a:prstGeom prst="rect">
                      <a:avLst/>
                    </a:prstGeom>
                    <a:noFill/>
                    <a:ln>
                      <a:noFill/>
                    </a:ln>
                  </pic:spPr>
                </pic:pic>
              </a:graphicData>
            </a:graphic>
          </wp:anchor>
        </w:drawing>
      </w:r>
    </w:p>
    <w:p>
      <w:pPr>
        <w:spacing w:after="0"/>
        <w:jc w:val="center"/>
        <w:rPr>
          <w:rFonts w:ascii="Berlin Sans FB Demi" w:hAnsi="Berlin Sans FB Demi"/>
          <w:b/>
          <w:sz w:val="32"/>
          <w:szCs w:val="36"/>
        </w:rPr>
      </w:pPr>
      <w:r>
        <w:rPr>
          <w:rFonts w:ascii="Berlin Sans FB Demi" w:hAnsi="Berlin Sans FB Demi"/>
          <w:b/>
          <w:sz w:val="32"/>
          <w:szCs w:val="36"/>
        </w:rPr>
        <w:tab/>
      </w:r>
      <w:r>
        <w:rPr>
          <w:rFonts w:ascii="Berlin Sans FB Demi" w:hAnsi="Berlin Sans FB Demi"/>
          <w:b/>
          <w:sz w:val="32"/>
          <w:szCs w:val="36"/>
        </w:rPr>
        <w:tab/>
      </w:r>
    </w:p>
    <w:p>
      <w:pPr>
        <w:spacing w:after="0"/>
        <w:jc w:val="center"/>
        <w:rPr>
          <w:rFonts w:ascii="Berlin Sans FB Demi" w:hAnsi="Berlin Sans FB Demi"/>
          <w:b/>
          <w:sz w:val="166"/>
          <w:szCs w:val="166"/>
        </w:rPr>
      </w:pPr>
    </w:p>
    <w:p>
      <w:pPr>
        <w:spacing w:after="0"/>
        <w:jc w:val="center"/>
        <w:rPr>
          <w:rFonts w:ascii="Berlin Sans FB Demi" w:hAnsi="Berlin Sans FB Demi"/>
          <w:b/>
          <w:sz w:val="32"/>
          <w:szCs w:val="36"/>
          <w:lang w:val="id-ID"/>
        </w:rPr>
      </w:pPr>
    </w:p>
    <w:p>
      <w:pPr>
        <w:spacing w:after="0"/>
        <w:jc w:val="center"/>
        <w:rPr>
          <w:rFonts w:ascii="Berlin Sans FB Demi" w:hAnsi="Berlin Sans FB Demi"/>
          <w:b/>
          <w:sz w:val="32"/>
          <w:szCs w:val="36"/>
          <w:lang w:val="id-ID"/>
        </w:rPr>
      </w:pPr>
      <w:r>
        <w:rPr>
          <w:lang w:val="id-ID" w:eastAsia="id-ID"/>
        </w:rPr>
        <w:drawing>
          <wp:anchor distT="0" distB="0" distL="114300" distR="114300" simplePos="0" relativeHeight="251667456" behindDoc="1" locked="0" layoutInCell="1" allowOverlap="1">
            <wp:simplePos x="0" y="0"/>
            <wp:positionH relativeFrom="margin">
              <wp:posOffset>3418840</wp:posOffset>
            </wp:positionH>
            <wp:positionV relativeFrom="paragraph">
              <wp:posOffset>111125</wp:posOffset>
            </wp:positionV>
            <wp:extent cx="2148840" cy="807720"/>
            <wp:effectExtent l="0" t="0" r="381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0" b="100000" l="0" r="100000">
                                  <a14:foregroundMark x1="6962" y1="28814" x2="6962" y2="0"/>
                                  <a14:foregroundMark x1="18987" y1="38983" x2="18987" y2="0"/>
                                  <a14:foregroundMark x1="29114" y1="33898" x2="29114" y2="0"/>
                                  <a14:foregroundMark x1="41772" y1="71186" x2="41772" y2="0"/>
                                  <a14:foregroundMark x1="54430" y1="72881" x2="54430" y2="0"/>
                                  <a14:foregroundMark x1="62658" y1="79661" x2="62658" y2="0"/>
                                  <a14:foregroundMark x1="70253" y1="61017" x2="70253" y2="0"/>
                                  <a14:foregroundMark x1="86709" y1="64407" x2="86709" y2="0"/>
                                  <a14:backgroundMark x1="51266" y1="22034" x2="97468" y2="0"/>
                                  <a14:backgroundMark x1="11392" y1="84746" x2="27215"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2148840" cy="807720"/>
                    </a:xfrm>
                    <a:prstGeom prst="rect">
                      <a:avLst/>
                    </a:prstGeom>
                    <a:noFill/>
                    <a:ln>
                      <a:noFill/>
                    </a:ln>
                  </pic:spPr>
                </pic:pic>
              </a:graphicData>
            </a:graphic>
          </wp:anchor>
        </w:drawing>
      </w:r>
    </w:p>
    <w:p>
      <w:pPr>
        <w:spacing w:after="0"/>
        <w:jc w:val="center"/>
        <w:rPr>
          <w:rFonts w:ascii="Berlin Sans FB Demi" w:hAnsi="Berlin Sans FB Demi"/>
          <w:b/>
          <w:sz w:val="32"/>
          <w:szCs w:val="36"/>
          <w:lang w:val="id-ID"/>
        </w:rPr>
      </w:pPr>
    </w:p>
    <w:p>
      <w:pPr>
        <w:spacing w:after="0"/>
        <w:jc w:val="center"/>
        <w:rPr>
          <w:rFonts w:ascii="Berlin Sans FB Demi" w:hAnsi="Berlin Sans FB Demi"/>
          <w:b/>
          <w:sz w:val="32"/>
          <w:szCs w:val="36"/>
          <w:lang w:val="id-ID"/>
        </w:rPr>
      </w:pPr>
    </w:p>
    <w:p>
      <w:pPr>
        <w:spacing w:after="0"/>
        <w:jc w:val="center"/>
        <w:rPr>
          <w:rFonts w:ascii="Berlin Sans FB Demi" w:hAnsi="Berlin Sans FB Demi"/>
          <w:b/>
          <w:sz w:val="32"/>
          <w:szCs w:val="36"/>
          <w:lang w:val="id-ID"/>
        </w:rPr>
      </w:pPr>
    </w:p>
    <w:p>
      <w:pPr>
        <w:spacing w:after="0"/>
        <w:jc w:val="center"/>
        <w:rPr>
          <w:rFonts w:ascii="Berlin Sans FB Demi" w:hAnsi="Berlin Sans FB Demi"/>
          <w:b/>
          <w:sz w:val="32"/>
          <w:szCs w:val="36"/>
        </w:rPr>
      </w:pPr>
      <w:r>
        <w:rPr>
          <w:rFonts w:ascii="Berlin Sans FB Demi" w:hAnsi="Berlin Sans FB Demi"/>
          <w:b/>
          <w:sz w:val="32"/>
          <w:szCs w:val="36"/>
        </w:rPr>
        <w:t>Januari, 2018</w:t>
      </w:r>
    </w:p>
    <w:p>
      <w:pPr>
        <w:spacing w:after="0"/>
        <w:jc w:val="center"/>
        <w:rPr>
          <w:rFonts w:ascii="Berlin Sans FB Demi" w:hAnsi="Berlin Sans FB Demi"/>
          <w:b/>
          <w:sz w:val="32"/>
          <w:szCs w:val="36"/>
        </w:rPr>
      </w:pPr>
      <w:r>
        <mc:AlternateContent>
          <mc:Choice Requires="wps">
            <w:drawing>
              <wp:anchor distT="45720" distB="45720" distL="114300" distR="114300" simplePos="0" relativeHeight="251674624" behindDoc="1" locked="0" layoutInCell="1" allowOverlap="1">
                <wp:simplePos x="0" y="0"/>
                <wp:positionH relativeFrom="margin">
                  <wp:posOffset>8591550</wp:posOffset>
                </wp:positionH>
                <wp:positionV relativeFrom="paragraph">
                  <wp:posOffset>1001395</wp:posOffset>
                </wp:positionV>
                <wp:extent cx="1200150" cy="22860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noFill/>
                        <a:ln w="9525">
                          <a:noFill/>
                          <a:miter lim="800000"/>
                        </a:ln>
                      </wps:spPr>
                      <wps:txbx>
                        <w:txbxContent>
                          <w:p>
                            <w:pPr>
                              <w:rPr>
                                <w:sz w:val="12"/>
                              </w:rPr>
                            </w:pPr>
                            <w:r>
                              <w:rPr>
                                <w:sz w:val="12"/>
                              </w:rPr>
                              <w:t>Edisi 7 Juni 2018</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76.5pt;margin-top:78.85pt;height:18pt;width:94.5pt;mso-position-horizontal-relative:margin;z-index:-251641856;mso-width-relative:page;mso-height-relative:page;" filled="f" stroked="f" coordsize="21600,21600" o:gfxdata="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2PMBfYAAAADQEAAA8AAAAAAAAAAQAgAAAAIgAAAGRycy9kb3ducmV2Lnht&#10;bFBLAQIUABQAAAAIAIdO4kAVjpcw+QEAANwDAAAOAAAAAAAAAAEAIAAAACcBAABkcnMvZTJvRG9j&#10;LnhtbFBLBQYAAAAABgAGAFkBAACSBQAAAAA=&#10;">
                <v:fill on="f" focussize="0,0"/>
                <v:stroke on="f" miterlimit="8" joinstyle="miter"/>
                <v:imagedata o:title=""/>
                <o:lock v:ext="edit" aspectratio="f"/>
                <v:textbox>
                  <w:txbxContent>
                    <w:p>
                      <w:pPr>
                        <w:rPr>
                          <w:sz w:val="12"/>
                        </w:rPr>
                      </w:pPr>
                      <w:r>
                        <w:rPr>
                          <w:sz w:val="12"/>
                        </w:rPr>
                        <w:t>Edisi 7 Juni 2018</w:t>
                      </w:r>
                    </w:p>
                  </w:txbxContent>
                </v:textbox>
              </v:shape>
            </w:pict>
          </mc:Fallback>
        </mc:AlternateContent>
      </w:r>
    </w:p>
    <w:p>
      <w:pPr>
        <w:spacing w:after="0"/>
        <w:ind w:hanging="1418"/>
        <w:jc w:val="center"/>
        <w:rPr>
          <w:rFonts w:ascii="Berlin Sans FB Demi" w:hAnsi="Berlin Sans FB Demi"/>
          <w:b/>
          <w:sz w:val="32"/>
          <w:szCs w:val="36"/>
        </w:rPr>
      </w:pPr>
      <w:r>
        <w:rPr>
          <w:rFonts w:ascii="Berlin Sans FB Demi" w:hAnsi="Berlin Sans FB Demi"/>
          <w:b/>
          <w:sz w:val="32"/>
          <w:szCs w:val="36"/>
          <w:lang w:val="id-ID" w:eastAsia="id-ID"/>
        </w:rPr>
        <w:drawing>
          <wp:inline distT="0" distB="0" distL="0" distR="0">
            <wp:extent cx="10687050" cy="755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0687050" cy="7553325"/>
                    </a:xfrm>
                    <a:prstGeom prst="rect">
                      <a:avLst/>
                    </a:prstGeom>
                  </pic:spPr>
                </pic:pic>
              </a:graphicData>
            </a:graphic>
          </wp:inline>
        </w:drawing>
      </w:r>
    </w:p>
    <w:p>
      <w:pPr>
        <w:spacing w:after="0"/>
        <w:ind w:hanging="1418"/>
        <w:jc w:val="center"/>
        <w:rPr>
          <w:rFonts w:ascii="Berlin Sans FB Demi" w:hAnsi="Berlin Sans FB Demi"/>
          <w:b/>
          <w:sz w:val="28"/>
          <w:szCs w:val="36"/>
        </w:rPr>
      </w:pPr>
      <w:r>
        <w:rPr>
          <w:rFonts w:ascii="Berlin Sans FB Demi" w:hAnsi="Berlin Sans FB Demi"/>
          <w:b/>
          <w:sz w:val="28"/>
          <w:szCs w:val="36"/>
          <w:lang w:val="id-ID" w:eastAsia="id-ID"/>
        </w:rPr>
        <w:drawing>
          <wp:inline distT="0" distB="0" distL="0" distR="0">
            <wp:extent cx="10668000" cy="7534275"/>
            <wp:effectExtent l="0" t="0" r="0"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 name="Picture 230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668000" cy="7534275"/>
                    </a:xfrm>
                    <a:prstGeom prst="rect">
                      <a:avLst/>
                    </a:prstGeom>
                  </pic:spPr>
                </pic:pic>
              </a:graphicData>
            </a:graphic>
          </wp:inline>
        </w:drawing>
      </w:r>
    </w:p>
    <w:p>
      <w:pPr>
        <w:pStyle w:val="2"/>
      </w:pPr>
      <w:bookmarkStart w:id="0" w:name="_Toc431267214"/>
      <w:r>
        <w:t>Kata Pengantar</w:t>
      </w:r>
      <w:bookmarkEnd w:id="0"/>
    </w:p>
    <w:p>
      <w:pPr>
        <w:spacing w:line="360" w:lineRule="auto"/>
        <w:jc w:val="both"/>
        <w:rPr>
          <w:szCs w:val="24"/>
        </w:rPr>
        <w:sectPr>
          <w:headerReference r:id="rId3" w:type="first"/>
          <w:footerReference r:id="rId5" w:type="first"/>
          <w:footerReference r:id="rId4" w:type="default"/>
          <w:pgSz w:w="16839" w:h="11907" w:orient="landscape"/>
          <w:pgMar w:top="0" w:right="1440" w:bottom="1440" w:left="1440" w:header="720" w:footer="720" w:gutter="0"/>
          <w:pgNumType w:fmt="lowerRoman" w:start="1"/>
          <w:cols w:space="720" w:num="1"/>
          <w:titlePg/>
          <w:docGrid w:linePitch="360" w:charSpace="0"/>
        </w:sectPr>
      </w:pPr>
    </w:p>
    <w:p>
      <w:pPr>
        <w:spacing w:after="120" w:line="360" w:lineRule="auto"/>
        <w:ind w:firstLine="709"/>
        <w:jc w:val="both"/>
        <w:rPr>
          <w:szCs w:val="24"/>
        </w:rPr>
      </w:pPr>
      <w:r>
        <w:rPr>
          <w:szCs w:val="24"/>
        </w:rPr>
        <w:t xml:space="preserve">Rencana Strategis merupakan </w:t>
      </w:r>
      <w:r>
        <w:rPr>
          <w:szCs w:val="24"/>
          <w:lang w:val="id-ID"/>
        </w:rPr>
        <w:t xml:space="preserve">salah satu perangkat </w:t>
      </w:r>
      <w:r>
        <w:rPr>
          <w:szCs w:val="24"/>
        </w:rPr>
        <w:t xml:space="preserve">organisasi untuk </w:t>
      </w:r>
      <w:r>
        <w:rPr>
          <w:szCs w:val="24"/>
          <w:lang w:val="id-ID"/>
        </w:rPr>
        <w:t xml:space="preserve">memandu dan mengendalikan arah gerak </w:t>
      </w:r>
      <w:r>
        <w:rPr>
          <w:szCs w:val="24"/>
        </w:rPr>
        <w:t xml:space="preserve">dan perkembangan bisnis suatu organisasi. Sesuai dengan arahan dari Kementerian Kesehatan dan adanya kecenderungan </w:t>
      </w:r>
      <w:r>
        <w:rPr>
          <w:i/>
          <w:szCs w:val="24"/>
        </w:rPr>
        <w:t>best-practices</w:t>
      </w:r>
      <w:r>
        <w:rPr>
          <w:szCs w:val="24"/>
        </w:rPr>
        <w:t xml:space="preserve"> dunia saat ini, sinergisitas antar komponen rumah sakit dan Fakultas Kedokteran dalam suatu AHC (</w:t>
      </w:r>
      <w:r>
        <w:rPr>
          <w:i/>
          <w:szCs w:val="24"/>
        </w:rPr>
        <w:t>academic health center</w:t>
      </w:r>
      <w:r>
        <w:rPr>
          <w:szCs w:val="24"/>
        </w:rPr>
        <w:t>) menuju AHS (</w:t>
      </w:r>
      <w:r>
        <w:rPr>
          <w:i/>
          <w:szCs w:val="24"/>
        </w:rPr>
        <w:t xml:space="preserve">academic health system) </w:t>
      </w:r>
      <w:r>
        <w:rPr>
          <w:szCs w:val="24"/>
        </w:rPr>
        <w:t xml:space="preserve">menjadi suatu keniscayaan, sehingga pada tahun 2015 dibuatlah renstra bersama antara RS dr Hasan Sadikin, RS Mata Nasional Cicendo dan Fakultas Kedokteran Unibversitas Padjadjaran.  </w:t>
      </w:r>
    </w:p>
    <w:p>
      <w:pPr>
        <w:spacing w:after="120" w:line="360" w:lineRule="auto"/>
        <w:ind w:firstLine="709"/>
        <w:jc w:val="both"/>
        <w:rPr>
          <w:color w:val="FF0000"/>
          <w:szCs w:val="24"/>
        </w:rPr>
      </w:pPr>
      <w:r>
        <w:rPr>
          <w:szCs w:val="24"/>
        </w:rPr>
        <w:t>Berdasarkan Peraturan Ment</w:t>
      </w:r>
      <w:r>
        <w:rPr>
          <w:szCs w:val="24"/>
          <w:lang w:val="id-ID"/>
        </w:rPr>
        <w:t>e</w:t>
      </w:r>
      <w:r>
        <w:rPr>
          <w:szCs w:val="24"/>
        </w:rPr>
        <w:t xml:space="preserve">ri Pendayagunaan Aparatur Negara dan Reformasi Birokrasi No.53 tahun 2014,  </w:t>
      </w:r>
      <w:r>
        <w:rPr>
          <w:szCs w:val="24"/>
          <w:lang w:val="id-ID"/>
        </w:rPr>
        <w:t xml:space="preserve">serta </w:t>
      </w:r>
      <w:r>
        <w:rPr>
          <w:szCs w:val="24"/>
        </w:rPr>
        <w:t>poin penilaian Sakip dan  pandangan Dewan Pengawas, maka dianggap perlu dilakukan review RSB Bersama RSHS-</w:t>
      </w:r>
      <w:r>
        <w:rPr>
          <w:szCs w:val="24"/>
          <w:lang w:val="id-ID"/>
        </w:rPr>
        <w:t>PMN RSMC</w:t>
      </w:r>
      <w:r>
        <w:rPr>
          <w:szCs w:val="24"/>
        </w:rPr>
        <w:t xml:space="preserve">–FKUP 2015-2019.  Review yang dilakukan </w:t>
      </w:r>
      <w:r>
        <w:rPr>
          <w:szCs w:val="24"/>
          <w:lang w:val="id-ID"/>
        </w:rPr>
        <w:t xml:space="preserve">pada </w:t>
      </w:r>
      <w:r>
        <w:rPr>
          <w:szCs w:val="24"/>
        </w:rPr>
        <w:t xml:space="preserve">tahun 2016 telah menyepakati bahwa RSHS memiliki RSB sendiri  dengan penjabaran program dan pembiayaannya dengan memuat 19 </w:t>
      </w:r>
      <w:r>
        <w:rPr>
          <w:i/>
          <w:szCs w:val="24"/>
        </w:rPr>
        <w:t>Key Performance Indicator</w:t>
      </w:r>
      <w:r>
        <w:rPr>
          <w:szCs w:val="24"/>
        </w:rPr>
        <w:t xml:space="preserve"> (KPI),  sedangkan</w:t>
      </w:r>
      <w:r>
        <w:rPr>
          <w:szCs w:val="24"/>
          <w:lang w:val="id-ID"/>
        </w:rPr>
        <w:t xml:space="preserve"> </w:t>
      </w:r>
      <w:r>
        <w:rPr>
          <w:szCs w:val="24"/>
        </w:rPr>
        <w:t xml:space="preserve">integrasi AHC dengan Fakultas Kedokteran Universitas Padjadjaran (FKUP) dan </w:t>
      </w:r>
      <w:r>
        <w:rPr>
          <w:szCs w:val="24"/>
          <w:lang w:val="id-ID"/>
        </w:rPr>
        <w:t xml:space="preserve">PMN </w:t>
      </w:r>
      <w:r>
        <w:rPr>
          <w:szCs w:val="24"/>
        </w:rPr>
        <w:t>RSMC dimuat dalam bentuk Perjanjian Kerja Sama (PKS)</w:t>
      </w:r>
      <w:r>
        <w:rPr>
          <w:color w:val="FF0000"/>
          <w:szCs w:val="24"/>
        </w:rPr>
        <w:t>.</w:t>
      </w:r>
    </w:p>
    <w:p>
      <w:pPr>
        <w:spacing w:after="0" w:line="360" w:lineRule="auto"/>
        <w:ind w:firstLine="709"/>
        <w:jc w:val="both"/>
        <w:rPr>
          <w:szCs w:val="24"/>
        </w:rPr>
      </w:pPr>
      <w:r>
        <w:rPr>
          <w:szCs w:val="24"/>
        </w:rPr>
        <w:t xml:space="preserve">Sebagaimana layaknya suatu dokumen rencana strategis, buku ini berisikan arah, prioritas, strategi, sasaran-sasaran strategis, indikator kinerja utama dan program kerja strategis. Selain itu, RSB RSHS juga dilengkapi dengan suatu bahasan khusus tentang Analisis dan Mitigasi Risiko. Seiring dengan semakin besarnya harapan dan kekhawatiran </w:t>
      </w:r>
      <w:r>
        <w:rPr>
          <w:i/>
          <w:szCs w:val="24"/>
        </w:rPr>
        <w:t>stakeholder</w:t>
      </w:r>
      <w:r>
        <w:rPr>
          <w:szCs w:val="24"/>
        </w:rPr>
        <w:t xml:space="preserve">, RSHS menyadari bahwa diperlukan integrasi yang optimal antara pelayanan, pendidikan dan penelitian serta diharapkan terbangun jejaring pelayanan, pendidikan dan penelitian yang sinergis dan harmonis.  </w:t>
      </w:r>
    </w:p>
    <w:p>
      <w:pPr>
        <w:spacing w:after="170" w:line="360" w:lineRule="auto"/>
        <w:ind w:firstLine="709"/>
        <w:jc w:val="both"/>
        <w:rPr>
          <w:szCs w:val="24"/>
        </w:rPr>
      </w:pPr>
      <w:r>
        <w:rPr>
          <w:szCs w:val="24"/>
        </w:rPr>
        <w:t xml:space="preserve">Kami mengucapkan terima kasih atas bantuan semua pihak yang terlibat dalam penyusunan </w:t>
      </w:r>
      <w:r>
        <w:rPr>
          <w:szCs w:val="24"/>
          <w:lang w:val="id-ID"/>
        </w:rPr>
        <w:t xml:space="preserve">dan review </w:t>
      </w:r>
      <w:r>
        <w:rPr>
          <w:szCs w:val="24"/>
        </w:rPr>
        <w:t>buku Rencana Strategis Bisnis (RSB) RSHS periode 2015-2019. Semoga apa yang dimimpikan dalam RSB ini dapat terwujud mendukung tercapainya visi 2019.</w:t>
      </w:r>
    </w:p>
    <w:p>
      <w:pPr>
        <w:spacing w:after="170"/>
        <w:jc w:val="right"/>
        <w:rPr>
          <w:szCs w:val="24"/>
        </w:rPr>
      </w:pPr>
      <w:r>
        <w:rPr>
          <w:szCs w:val="24"/>
        </w:rPr>
        <w:t>Direktur Utama RSUP DR. Hasan Sadikin</w:t>
      </w:r>
    </w:p>
    <w:p>
      <w:pPr>
        <w:pStyle w:val="2"/>
        <w:sectPr>
          <w:headerReference r:id="rId6" w:type="default"/>
          <w:type w:val="continuous"/>
          <w:pgSz w:w="16839" w:h="11907" w:orient="landscape"/>
          <w:pgMar w:top="1134" w:right="1440" w:bottom="1440" w:left="1440" w:header="720" w:footer="174" w:gutter="0"/>
          <w:pgNumType w:fmt="lowerRoman" w:start="2"/>
          <w:cols w:space="720" w:num="1"/>
          <w:titlePg/>
          <w:docGrid w:linePitch="360" w:charSpace="0"/>
        </w:sectPr>
      </w:pPr>
    </w:p>
    <w:p>
      <w:pPr>
        <w:pStyle w:val="2"/>
      </w:pPr>
      <w:bookmarkStart w:id="1" w:name="_Toc431267215"/>
      <w:bookmarkStart w:id="2" w:name="_Toc431267218"/>
      <w:r>
        <w:t>Daftar Isi</w:t>
      </w:r>
      <w:bookmarkEnd w:id="1"/>
    </w:p>
    <w:p>
      <w:pPr>
        <w:pStyle w:val="18"/>
        <w:tabs>
          <w:tab w:val="right" w:leader="dot" w:pos="13949"/>
        </w:tabs>
        <w:rPr>
          <w:rFonts w:asciiTheme="minorHAnsi" w:hAnsiTheme="minorHAnsi" w:eastAsiaTheme="minorEastAsia" w:cstheme="minorBidi"/>
          <w:sz w:val="22"/>
          <w:lang w:val="id-ID" w:eastAsia="id-ID"/>
        </w:rPr>
      </w:pPr>
      <w:r>
        <w:rPr>
          <w:b/>
          <w:sz w:val="36"/>
          <w:szCs w:val="36"/>
        </w:rPr>
        <w:fldChar w:fldCharType="begin"/>
      </w:r>
      <w:r>
        <w:rPr>
          <w:b/>
          <w:sz w:val="36"/>
          <w:szCs w:val="36"/>
        </w:rPr>
        <w:instrText xml:space="preserve"> TOC \o "1-3" \h \z \u </w:instrText>
      </w:r>
      <w:r>
        <w:rPr>
          <w:b/>
          <w:sz w:val="36"/>
          <w:szCs w:val="36"/>
        </w:rPr>
        <w:fldChar w:fldCharType="separate"/>
      </w:r>
      <w:r>
        <w:fldChar w:fldCharType="begin"/>
      </w:r>
      <w:r>
        <w:instrText xml:space="preserve"> HYPERLINK \l "_Toc431267214" </w:instrText>
      </w:r>
      <w:r>
        <w:fldChar w:fldCharType="separate"/>
      </w:r>
      <w:r>
        <w:rPr>
          <w:rStyle w:val="24"/>
        </w:rPr>
        <w:t>Kata Pengantar</w:t>
      </w:r>
      <w:r>
        <w:t xml:space="preserve"> …………………………………………………………………………………………………………………………………………………………………………………….</w:t>
      </w:r>
      <w:r>
        <w:tab/>
      </w:r>
      <w:r>
        <w:rPr>
          <w:lang w:val="id-ID"/>
        </w:rPr>
        <w:t>i</w:t>
      </w:r>
      <w:r>
        <w:rPr>
          <w:lang w:val="id-ID"/>
        </w:rP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"_Toc431267215" </w:instrText>
      </w:r>
      <w:r>
        <w:fldChar w:fldCharType="separate"/>
      </w:r>
      <w:r>
        <w:rPr>
          <w:rStyle w:val="24"/>
        </w:rPr>
        <w:t>Daftar Isi</w:t>
      </w:r>
      <w:r>
        <w:tab/>
      </w:r>
      <w:r>
        <w:fldChar w:fldCharType="begin"/>
      </w:r>
      <w:r>
        <w:instrText xml:space="preserve"> PAGEREF _Toc431267215 \h </w:instrText>
      </w:r>
      <w:r>
        <w:fldChar w:fldCharType="separate"/>
      </w:r>
      <w:r>
        <w:t>v</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"_Toc431267216" </w:instrText>
      </w:r>
      <w:r>
        <w:fldChar w:fldCharType="separate"/>
      </w:r>
      <w:r>
        <w:rPr>
          <w:rStyle w:val="24"/>
        </w:rPr>
        <w:t>Daftar Tabel</w:t>
      </w:r>
      <w:r>
        <w:tab/>
      </w:r>
      <w:r>
        <w:rPr>
          <w:lang w:val="id-ID"/>
        </w:rPr>
        <w:t>i</w:t>
      </w:r>
      <w:r>
        <w:fldChar w:fldCharType="begin"/>
      </w:r>
      <w:r>
        <w:instrText xml:space="preserve"> PAGEREF _Toc431267216 \h </w:instrText>
      </w:r>
      <w:r>
        <w:fldChar w:fldCharType="separate"/>
      </w:r>
      <w:r>
        <w:t>v</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"_Toc431267217" </w:instrText>
      </w:r>
      <w:r>
        <w:fldChar w:fldCharType="separate"/>
      </w:r>
      <w:r>
        <w:rPr>
          <w:rStyle w:val="24"/>
        </w:rPr>
        <w:t>Daftar Gambar</w:t>
      </w:r>
      <w:r>
        <w:tab/>
      </w:r>
      <w:r>
        <w:fldChar w:fldCharType="begin"/>
      </w:r>
      <w:r>
        <w:instrText xml:space="preserve"> PAGEREF _Toc431267217 \h </w:instrText>
      </w:r>
      <w:r>
        <w:fldChar w:fldCharType="separate"/>
      </w:r>
      <w:r>
        <w:t>vi</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"_Toc431267218" </w:instrText>
      </w:r>
      <w:r>
        <w:fldChar w:fldCharType="separate"/>
      </w:r>
      <w:r>
        <w:rPr>
          <w:rStyle w:val="24"/>
        </w:rPr>
        <w:t>I. PENDAHULUAN</w:t>
      </w:r>
      <w:r>
        <w:tab/>
      </w:r>
      <w:r>
        <w:fldChar w:fldCharType="begin"/>
      </w:r>
      <w:r>
        <w:instrText xml:space="preserve"> PAGEREF _Toc431267218 \h </w:instrText>
      </w:r>
      <w:r>
        <w:fldChar w:fldCharType="separate"/>
      </w:r>
      <w:r>
        <w:t>5</w:t>
      </w:r>
      <w:r>
        <w:fldChar w:fldCharType="end"/>
      </w:r>
      <w: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"_Toc431267219" </w:instrText>
      </w:r>
      <w:r>
        <w:fldChar w:fldCharType="separate"/>
      </w:r>
      <w:r>
        <w:rPr>
          <w:rStyle w:val="24"/>
        </w:rPr>
        <w:t>1.1 Latar Belakang</w:t>
      </w:r>
      <w:r>
        <w:tab/>
      </w:r>
      <w:r>
        <w:fldChar w:fldCharType="begin"/>
      </w:r>
      <w:r>
        <w:instrText xml:space="preserve"> PAGEREF _Toc431267219 \h </w:instrText>
      </w:r>
      <w:r>
        <w:fldChar w:fldCharType="separate"/>
      </w:r>
      <w:r>
        <w:t>1</w:t>
      </w:r>
      <w:r>
        <w:fldChar w:fldCharType="end"/>
      </w:r>
      <w: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"_Toc431267220" </w:instrText>
      </w:r>
      <w:r>
        <w:fldChar w:fldCharType="separate"/>
      </w:r>
      <w:r>
        <w:rPr>
          <w:rStyle w:val="24"/>
        </w:rPr>
        <w:t>I.2 Tujuan</w:t>
      </w:r>
      <w:r>
        <w:tab/>
      </w:r>
      <w:r>
        <w:fldChar w:fldCharType="begin"/>
      </w:r>
      <w:r>
        <w:instrText xml:space="preserve"> PAGEREF _Toc431267220 \h </w:instrText>
      </w:r>
      <w:r>
        <w:fldChar w:fldCharType="separate"/>
      </w:r>
      <w:r>
        <w:t>4</w:t>
      </w:r>
      <w:r>
        <w:fldChar w:fldCharType="end"/>
      </w:r>
      <w:r>
        <w:fldChar w:fldCharType="end"/>
      </w:r>
    </w:p>
    <w:p>
      <w:pPr>
        <w:pStyle w:val="19"/>
        <w:tabs>
          <w:tab w:val="right" w:leader="dot" w:pos="13949"/>
        </w:tabs>
      </w:pPr>
      <w:r>
        <w:fldChar w:fldCharType="begin"/>
      </w:r>
      <w:r>
        <w:instrText xml:space="preserve"> HYPERLINK \l "_Toc431267221" </w:instrText>
      </w:r>
      <w:r>
        <w:fldChar w:fldCharType="separate"/>
      </w:r>
      <w:r>
        <w:rPr>
          <w:rStyle w:val="24"/>
          <w:rFonts w:eastAsia="Calibri"/>
          <w:lang w:val="sv-SE"/>
        </w:rPr>
        <w:t xml:space="preserve">I.3 </w:t>
      </w:r>
      <w:r>
        <w:rPr>
          <w:rStyle w:val="24"/>
          <w:rFonts w:eastAsia="Calibri"/>
          <w:lang w:val="id-ID"/>
        </w:rPr>
        <w:t>Dasar Hukum</w:t>
      </w:r>
      <w:r>
        <w:tab/>
      </w:r>
      <w:r>
        <w:rPr>
          <w:lang w:val="id-ID"/>
        </w:rPr>
        <w:t>4</w:t>
      </w:r>
      <w:r>
        <w:rPr>
          <w:lang w:val="id-ID"/>
        </w:rPr>
        <w:fldChar w:fldCharType="end"/>
      </w:r>
    </w:p>
    <w:p>
      <w:pPr>
        <w:ind w:right="-925"/>
        <w:rPr>
          <w:rFonts w:eastAsiaTheme="minorEastAsia"/>
          <w:lang w:val="id-ID"/>
        </w:rPr>
      </w:pPr>
      <w:r>
        <w:rPr>
          <w:rFonts w:eastAsiaTheme="minorEastAsia"/>
          <w:lang w:val="id-ID"/>
        </w:rPr>
        <w:t xml:space="preserve">    I.4 Metodologi Penyusunan Renstra.......................................................................................................................................................................</w:t>
      </w:r>
      <w:r>
        <w:rPr>
          <w:rFonts w:eastAsiaTheme="minorEastAsia"/>
          <w:lang w:val="id-ID"/>
        </w:rPr>
        <w:fldChar w:fldCharType="begin"/>
      </w:r>
      <w:r>
        <w:rPr>
          <w:rFonts w:eastAsiaTheme="minorEastAsia"/>
          <w:lang w:val="id-ID"/>
        </w:rPr>
        <w:instrText xml:space="preserve"> PAGEREF _Toc431267221 \h </w:instrText>
      </w:r>
      <w:r>
        <w:rPr>
          <w:rFonts w:eastAsiaTheme="minorEastAsia"/>
          <w:lang w:val="id-ID"/>
        </w:rPr>
        <w:fldChar w:fldCharType="separate"/>
      </w:r>
      <w:r>
        <w:rPr>
          <w:rFonts w:eastAsiaTheme="minorEastAsia"/>
          <w:lang w:val="id-ID"/>
        </w:rPr>
        <w:t>6</w:t>
      </w:r>
      <w:r>
        <w:rPr>
          <w:rFonts w:eastAsiaTheme="minorEastAsia"/>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"_Toc431267222" </w:instrText>
      </w:r>
      <w:r>
        <w:fldChar w:fldCharType="separate"/>
      </w:r>
      <w:r>
        <w:rPr>
          <w:rStyle w:val="24"/>
          <w:rFonts w:eastAsia="Calibri"/>
          <w:lang w:val="sv-SE"/>
        </w:rPr>
        <w:t>I.</w:t>
      </w:r>
      <w:r>
        <w:rPr>
          <w:rStyle w:val="24"/>
          <w:rFonts w:eastAsia="Calibri"/>
          <w:lang w:val="id-ID"/>
        </w:rPr>
        <w:t>5</w:t>
      </w:r>
      <w:r>
        <w:rPr>
          <w:rStyle w:val="24"/>
          <w:rFonts w:eastAsia="Calibri"/>
          <w:lang w:val="sv-SE"/>
        </w:rPr>
        <w:t xml:space="preserve">. </w:t>
      </w:r>
      <w:r>
        <w:rPr>
          <w:rStyle w:val="24"/>
          <w:rFonts w:eastAsia="Calibri"/>
        </w:rPr>
        <w:t>Struktur</w:t>
      </w:r>
      <w:r>
        <w:rPr>
          <w:rStyle w:val="24"/>
          <w:rFonts w:eastAsia="Calibri"/>
          <w:lang w:val="id-ID"/>
        </w:rPr>
        <w:t xml:space="preserve"> Buku RSB</w:t>
      </w:r>
      <w:r>
        <w:tab/>
      </w:r>
      <w:r>
        <w:fldChar w:fldCharType="begin"/>
      </w:r>
      <w:r>
        <w:instrText xml:space="preserve"> PAGEREF _Toc431267222 \h </w:instrText>
      </w:r>
      <w:r>
        <w:fldChar w:fldCharType="separate"/>
      </w:r>
      <w:r>
        <w:t>8</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"_Toc431267223" </w:instrText>
      </w:r>
      <w:r>
        <w:fldChar w:fldCharType="separate"/>
      </w:r>
      <w:r>
        <w:rPr>
          <w:rStyle w:val="24"/>
        </w:rPr>
        <w:t>II. GAMBARAN KINERJA SAAT INI</w:t>
      </w:r>
      <w:r>
        <w:tab/>
      </w:r>
      <w:r>
        <w:fldChar w:fldCharType="begin"/>
      </w:r>
      <w:r>
        <w:instrText xml:space="preserve"> PAGEREF _Toc431267223 \h </w:instrText>
      </w:r>
      <w:r>
        <w:fldChar w:fldCharType="separate"/>
      </w:r>
      <w:r>
        <w:t>10</w:t>
      </w:r>
      <w:r>
        <w:fldChar w:fldCharType="end"/>
      </w:r>
      <w: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"_Toc431267224" </w:instrText>
      </w:r>
      <w:r>
        <w:fldChar w:fldCharType="separate"/>
      </w:r>
      <w:r>
        <w:rPr>
          <w:rStyle w:val="24"/>
        </w:rPr>
        <w:t xml:space="preserve">2.1 </w:t>
      </w:r>
      <w:r>
        <w:rPr>
          <w:rStyle w:val="24"/>
          <w:lang w:val="id-ID"/>
        </w:rPr>
        <w:t>Gambaran Kinerja RSHS-FKUP</w:t>
      </w:r>
      <w:r>
        <w:tab/>
      </w:r>
      <w:r>
        <w:fldChar w:fldCharType="begin"/>
      </w:r>
      <w:r>
        <w:instrText xml:space="preserve"> PAGEREF _Toc431267224 \h </w:instrText>
      </w:r>
      <w:r>
        <w:fldChar w:fldCharType="separate"/>
      </w:r>
      <w:r>
        <w:t>10</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"_Toc431267226" </w:instrText>
      </w:r>
      <w:r>
        <w:fldChar w:fldCharType="separate"/>
      </w:r>
      <w:r>
        <w:rPr>
          <w:rStyle w:val="24"/>
        </w:rPr>
        <w:t xml:space="preserve">III. </w:t>
      </w:r>
      <w:r>
        <w:rPr>
          <w:rStyle w:val="24"/>
          <w:lang w:val="id-ID"/>
        </w:rPr>
        <w:t>MEMBANGUN AHS (</w:t>
      </w:r>
      <w:r>
        <w:rPr>
          <w:rStyle w:val="24"/>
          <w:i/>
          <w:lang w:val="id-ID"/>
        </w:rPr>
        <w:t>ACADEMIC HEALTH SYSTEM</w:t>
      </w:r>
      <w:r>
        <w:rPr>
          <w:rStyle w:val="24"/>
          <w:lang w:val="id-ID"/>
        </w:rPr>
        <w:t>) JAWA BARAT</w:t>
      </w:r>
      <w:r>
        <w:tab/>
      </w:r>
      <w:r>
        <w:rPr>
          <w:lang w:val="id-ID"/>
        </w:rPr>
        <w:t>37</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"_Toc431267227" </w:instrText>
      </w:r>
      <w:r>
        <w:fldChar w:fldCharType="separate"/>
      </w:r>
      <w:r>
        <w:rPr>
          <w:rStyle w:val="24"/>
        </w:rPr>
        <w:t>3.1 Integrasi Pelayanan-Pendidikan-Penelitian</w:t>
      </w:r>
      <w:r>
        <w:tab/>
      </w:r>
      <w:r>
        <w:rPr>
          <w:lang w:val="id-ID"/>
        </w:rPr>
        <w:t>37</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"_Toc431267228" </w:instrText>
      </w:r>
      <w:r>
        <w:fldChar w:fldCharType="separate"/>
      </w:r>
      <w:r>
        <w:rPr>
          <w:rStyle w:val="24"/>
        </w:rPr>
        <w:t>3.2 Rancangan AHS Jawa Barat</w:t>
      </w:r>
      <w:r>
        <w:tab/>
      </w:r>
      <w:r>
        <w:rPr>
          <w:lang w:val="id-ID"/>
        </w:rPr>
        <w:t>38</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"_Toc431267229" </w:instrText>
      </w:r>
      <w:r>
        <w:fldChar w:fldCharType="separate"/>
      </w:r>
      <w:r>
        <w:rPr>
          <w:rStyle w:val="24"/>
        </w:rPr>
        <w:t>3.3 Tantangan Mewujudkan AHS Jawa Barat</w:t>
      </w:r>
      <w:r>
        <w:tab/>
      </w:r>
      <w:r>
        <w:rPr>
          <w:lang w:val="id-ID"/>
        </w:rPr>
        <w:t>39</w:t>
      </w:r>
      <w:r>
        <w:rPr>
          <w:lang w:val="id-ID"/>
        </w:rP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"_Toc431267230" </w:instrText>
      </w:r>
      <w:r>
        <w:fldChar w:fldCharType="separate"/>
      </w:r>
      <w:r>
        <w:rPr>
          <w:rStyle w:val="24"/>
          <w:lang w:val="id-ID"/>
        </w:rPr>
        <w:t xml:space="preserve">IV. </w:t>
      </w:r>
      <w:r>
        <w:rPr>
          <w:rStyle w:val="24"/>
        </w:rPr>
        <w:t>ARAH DAN PRIORITAS STRATEGIS</w:t>
      </w:r>
      <w:r>
        <w:tab/>
      </w:r>
      <w:r>
        <w:rPr>
          <w:lang w:val="id-ID"/>
        </w:rPr>
        <w:t>43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"_Toc431267231" </w:instrText>
      </w:r>
      <w:r>
        <w:fldChar w:fldCharType="separate"/>
      </w:r>
      <w:r>
        <w:rPr>
          <w:rStyle w:val="24"/>
          <w:lang w:val="id-ID"/>
        </w:rPr>
        <w:t>4</w:t>
      </w:r>
      <w:r>
        <w:rPr>
          <w:rStyle w:val="24"/>
        </w:rPr>
        <w:t xml:space="preserve">.1 Tuntutan </w:t>
      </w:r>
      <w:r>
        <w:rPr>
          <w:rStyle w:val="24"/>
          <w:i/>
        </w:rPr>
        <w:t>Stakeholders</w:t>
      </w:r>
      <w:r>
        <w:rPr>
          <w:rStyle w:val="24"/>
        </w:rPr>
        <w:t xml:space="preserve"> utama</w:t>
      </w:r>
      <w:r>
        <w:tab/>
      </w:r>
      <w:r>
        <w:rPr>
          <w:lang w:val="id-ID"/>
        </w:rPr>
        <w:t>43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"_Toc431267232" </w:instrText>
      </w:r>
      <w:r>
        <w:fldChar w:fldCharType="separate"/>
      </w:r>
      <w:r>
        <w:rPr>
          <w:rStyle w:val="24"/>
          <w:lang w:val="id-ID"/>
        </w:rPr>
        <w:t>4</w:t>
      </w:r>
      <w:r>
        <w:rPr>
          <w:rStyle w:val="24"/>
        </w:rPr>
        <w:t>.2 Tantangan Strategis</w:t>
      </w:r>
      <w:r>
        <w:tab/>
      </w:r>
      <w:r>
        <w:rPr>
          <w:lang w:val="id-ID"/>
        </w:rPr>
        <w:t>45</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"_Toc431267233" </w:instrText>
      </w:r>
      <w:r>
        <w:fldChar w:fldCharType="separate"/>
      </w:r>
      <w:r>
        <w:rPr>
          <w:rStyle w:val="24"/>
        </w:rPr>
        <w:t>4.3 Rumusan Visi, Misi dan Tata Nilai</w:t>
      </w:r>
      <w:r>
        <w:tab/>
      </w:r>
      <w:r>
        <w:rPr>
          <w:lang w:val="id-ID"/>
        </w:rPr>
        <w:t>46</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"_Toc431267234" </w:instrText>
      </w:r>
      <w:r>
        <w:fldChar w:fldCharType="separate"/>
      </w:r>
      <w:r>
        <w:rPr>
          <w:rStyle w:val="24"/>
          <w:lang w:val="id-ID"/>
        </w:rPr>
        <w:t>4</w:t>
      </w:r>
      <w:r>
        <w:rPr>
          <w:rStyle w:val="24"/>
        </w:rPr>
        <w:t>.4 Patok Duga (</w:t>
      </w:r>
      <w:r>
        <w:rPr>
          <w:rStyle w:val="24"/>
          <w:i/>
        </w:rPr>
        <w:t>Benchmark</w:t>
      </w:r>
      <w:r>
        <w:rPr>
          <w:rStyle w:val="24"/>
        </w:rPr>
        <w:t>)</w:t>
      </w:r>
      <w:r>
        <w:tab/>
      </w:r>
      <w:r>
        <w:rPr>
          <w:lang w:val="id-ID"/>
        </w:rPr>
        <w:t>48</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"_Toc431267235" </w:instrText>
      </w:r>
      <w:r>
        <w:fldChar w:fldCharType="separate"/>
      </w:r>
      <w:r>
        <w:rPr>
          <w:rStyle w:val="24"/>
        </w:rPr>
        <w:t>4.5 Analisis SWOT</w:t>
      </w:r>
      <w:r>
        <w:tab/>
      </w:r>
      <w:r>
        <w:rPr>
          <w:lang w:val="id-ID"/>
        </w:rPr>
        <w:t>48</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"_Toc431267236" </w:instrText>
      </w:r>
      <w:r>
        <w:fldChar w:fldCharType="separate"/>
      </w:r>
      <w:r>
        <w:rPr>
          <w:rStyle w:val="24"/>
          <w:lang w:val="id-ID"/>
        </w:rPr>
        <w:t>4</w:t>
      </w:r>
      <w:r>
        <w:rPr>
          <w:rStyle w:val="24"/>
        </w:rPr>
        <w:t>.</w:t>
      </w:r>
      <w:r>
        <w:rPr>
          <w:rStyle w:val="24"/>
          <w:lang w:val="id-ID"/>
        </w:rPr>
        <w:t xml:space="preserve">6 </w:t>
      </w:r>
      <w:r>
        <w:rPr>
          <w:rStyle w:val="24"/>
        </w:rPr>
        <w:t xml:space="preserve"> Peta Strategi</w:t>
      </w:r>
      <w:r>
        <w:tab/>
      </w:r>
      <w:r>
        <w:rPr>
          <w:lang w:val="id-ID"/>
        </w:rPr>
        <w:t>59</w:t>
      </w:r>
      <w:r>
        <w:rPr>
          <w:lang w:val="id-ID"/>
        </w:rP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"_Toc431267237" </w:instrText>
      </w:r>
      <w:r>
        <w:fldChar w:fldCharType="separate"/>
      </w:r>
      <w:r>
        <w:rPr>
          <w:rStyle w:val="24"/>
        </w:rPr>
        <w:t>V. INDIKATOR KINERJA UTAMA DAN PROGRAM KERJA STRATEGIS</w:t>
      </w:r>
      <w:r>
        <w:tab/>
      </w:r>
      <w:r>
        <w:rPr>
          <w:lang w:val="id-ID"/>
        </w:rPr>
        <w:t>63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"_Toc431267238" </w:instrText>
      </w:r>
      <w:r>
        <w:fldChar w:fldCharType="separate"/>
      </w:r>
      <w:r>
        <w:rPr>
          <w:rStyle w:val="24"/>
          <w:lang w:val="id-ID"/>
        </w:rPr>
        <w:t>5</w:t>
      </w:r>
      <w:r>
        <w:rPr>
          <w:rStyle w:val="24"/>
        </w:rPr>
        <w:t>.1 Matriks KPI</w:t>
      </w:r>
      <w:r>
        <w:tab/>
      </w:r>
      <w:r>
        <w:rPr>
          <w:lang w:val="id-ID"/>
        </w:rPr>
        <w:t>63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"_Toc431267239" </w:instrText>
      </w:r>
      <w:r>
        <w:fldChar w:fldCharType="separate"/>
      </w:r>
      <w:r>
        <w:rPr>
          <w:rStyle w:val="24"/>
          <w:lang w:val="id-ID"/>
        </w:rPr>
        <w:t>5</w:t>
      </w:r>
      <w:r>
        <w:rPr>
          <w:rStyle w:val="24"/>
        </w:rPr>
        <w:t>.2 Program Kerja Strategis</w:t>
      </w:r>
      <w:r>
        <w:tab/>
      </w:r>
      <w:r>
        <w:rPr>
          <w:lang w:val="id-ID"/>
        </w:rPr>
        <w:t>70</w:t>
      </w:r>
      <w:r>
        <w:rPr>
          <w:lang w:val="id-ID"/>
        </w:rP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"_Toc431267240" </w:instrText>
      </w:r>
      <w:r>
        <w:fldChar w:fldCharType="separate"/>
      </w:r>
      <w:r>
        <w:rPr>
          <w:rStyle w:val="24"/>
          <w:lang w:val="id-ID"/>
        </w:rPr>
        <w:t>VI</w:t>
      </w:r>
      <w:r>
        <w:rPr>
          <w:rStyle w:val="24"/>
        </w:rPr>
        <w:t>.</w:t>
      </w:r>
      <w:r>
        <w:rPr>
          <w:rStyle w:val="24"/>
          <w:lang w:val="id-ID"/>
        </w:rPr>
        <w:t xml:space="preserve"> ANALISA DAN MITIGASI RISIKO</w:t>
      </w:r>
      <w:r>
        <w:tab/>
      </w:r>
      <w:r>
        <w:rPr>
          <w:lang w:val="id-ID"/>
        </w:rPr>
        <w:t>93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"_Toc431267241" </w:instrText>
      </w:r>
      <w:r>
        <w:fldChar w:fldCharType="separate"/>
      </w:r>
      <w:r>
        <w:rPr>
          <w:rStyle w:val="24"/>
          <w:lang w:val="id-ID"/>
        </w:rPr>
        <w:t>6</w:t>
      </w:r>
      <w:r>
        <w:rPr>
          <w:rStyle w:val="24"/>
        </w:rPr>
        <w:t>.1 Analisis Risiko</w:t>
      </w:r>
      <w:r>
        <w:tab/>
      </w:r>
      <w:r>
        <w:rPr>
          <w:lang w:val="id-ID"/>
        </w:rPr>
        <w:t>93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"_Toc431267242" </w:instrText>
      </w:r>
      <w:r>
        <w:fldChar w:fldCharType="separate"/>
      </w:r>
      <w:r>
        <w:rPr>
          <w:rStyle w:val="24"/>
          <w:lang w:val="id-ID"/>
        </w:rPr>
        <w:t>6</w:t>
      </w:r>
      <w:r>
        <w:rPr>
          <w:rStyle w:val="24"/>
        </w:rPr>
        <w:t>.2 Rencana Mitigasi Risiko</w:t>
      </w:r>
      <w:r>
        <w:tab/>
      </w:r>
      <w:r>
        <w:rPr>
          <w:lang w:val="id-ID"/>
        </w:rPr>
        <w:t>99</w:t>
      </w:r>
      <w:r>
        <w:rPr>
          <w:lang w:val="id-ID"/>
        </w:rP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"_Toc431267243" </w:instrText>
      </w:r>
      <w:r>
        <w:fldChar w:fldCharType="separate"/>
      </w:r>
      <w:r>
        <w:rPr>
          <w:rStyle w:val="24"/>
        </w:rPr>
        <w:t>VI</w:t>
      </w:r>
      <w:r>
        <w:rPr>
          <w:rStyle w:val="24"/>
          <w:lang w:val="id-ID"/>
        </w:rPr>
        <w:t>I</w:t>
      </w:r>
      <w:r>
        <w:rPr>
          <w:rStyle w:val="24"/>
        </w:rPr>
        <w:t>. PROYEKSI KEUANGAN</w:t>
      </w:r>
      <w:r>
        <w:tab/>
      </w:r>
      <w:r>
        <w:rPr>
          <w:lang w:val="id-ID"/>
        </w:rPr>
        <w:t>103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"_Toc431267244" </w:instrText>
      </w:r>
      <w:r>
        <w:fldChar w:fldCharType="separate"/>
      </w:r>
      <w:r>
        <w:rPr>
          <w:rStyle w:val="24"/>
          <w:lang w:val="id-ID"/>
        </w:rPr>
        <w:t>7</w:t>
      </w:r>
      <w:r>
        <w:rPr>
          <w:rStyle w:val="24"/>
        </w:rPr>
        <w:t>.1 Estimasi Pendapatan</w:t>
      </w:r>
      <w:r>
        <w:tab/>
      </w:r>
      <w:r>
        <w:rPr>
          <w:lang w:val="id-ID"/>
        </w:rPr>
        <w:t>103</w:t>
      </w:r>
      <w:r>
        <w:rPr>
          <w:lang w:val="id-ID"/>
        </w:rP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"_Toc431267245" </w:instrText>
      </w:r>
      <w:r>
        <w:fldChar w:fldCharType="separate"/>
      </w:r>
      <w:r>
        <w:rPr>
          <w:rStyle w:val="24"/>
          <w:lang w:val="id-ID"/>
        </w:rPr>
        <w:t>7</w:t>
      </w:r>
      <w:r>
        <w:rPr>
          <w:rStyle w:val="24"/>
        </w:rPr>
        <w:t>.2 Rencana Kebutuhan Anggaran  RSHS Tahun 2015-2019</w:t>
      </w:r>
      <w:r>
        <w:tab/>
      </w:r>
      <w:r>
        <w:fldChar w:fldCharType="begin"/>
      </w:r>
      <w:r>
        <w:instrText xml:space="preserve"> PAGEREF _Toc431267245 \h </w:instrText>
      </w:r>
      <w:r>
        <w:fldChar w:fldCharType="separate"/>
      </w:r>
      <w:r>
        <w:t>93</w:t>
      </w:r>
      <w:r>
        <w:fldChar w:fldCharType="end"/>
      </w:r>
      <w:r>
        <w:fldChar w:fldCharType="end"/>
      </w:r>
    </w:p>
    <w:p>
      <w:pPr>
        <w:pStyle w:val="19"/>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"_Toc431267246" </w:instrText>
      </w:r>
      <w:r>
        <w:fldChar w:fldCharType="separate"/>
      </w:r>
      <w:r>
        <w:rPr>
          <w:rStyle w:val="24"/>
          <w:lang w:val="id-ID"/>
        </w:rPr>
        <w:t>7</w:t>
      </w:r>
      <w:r>
        <w:rPr>
          <w:rStyle w:val="24"/>
        </w:rPr>
        <w:t>.3 Rencana Pendanaan</w:t>
      </w:r>
      <w:r>
        <w:tab/>
      </w:r>
      <w:r>
        <w:fldChar w:fldCharType="begin"/>
      </w:r>
      <w:r>
        <w:instrText xml:space="preserve"> PAGEREF _Toc431267246 \h </w:instrText>
      </w:r>
      <w:r>
        <w:fldChar w:fldCharType="separate"/>
      </w:r>
      <w:r>
        <w:t>96</w:t>
      </w:r>
      <w:r>
        <w:fldChar w:fldCharType="end"/>
      </w:r>
      <w:r>
        <w:fldChar w:fldCharType="end"/>
      </w:r>
    </w:p>
    <w:p>
      <w:pPr>
        <w:pStyle w:val="18"/>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"_Toc431267247" </w:instrText>
      </w:r>
      <w:r>
        <w:fldChar w:fldCharType="separate"/>
      </w:r>
      <w:r>
        <w:rPr>
          <w:rStyle w:val="24"/>
        </w:rPr>
        <w:t>LAMPIRAN KAMUS KPI</w:t>
      </w:r>
      <w:r>
        <w:tab/>
      </w:r>
      <w:r>
        <w:fldChar w:fldCharType="begin"/>
      </w:r>
      <w:r>
        <w:instrText xml:space="preserve"> PAGEREF _Toc431267247 \h </w:instrText>
      </w:r>
      <w:r>
        <w:fldChar w:fldCharType="separate"/>
      </w:r>
      <w:r>
        <w:t>99</w:t>
      </w:r>
      <w:r>
        <w:fldChar w:fldCharType="end"/>
      </w:r>
      <w:r>
        <w:fldChar w:fldCharType="end"/>
      </w:r>
    </w:p>
    <w:p>
      <w:pPr>
        <w:tabs>
          <w:tab w:val="right" w:leader="dot" w:pos="13500"/>
        </w:tabs>
        <w:sectPr>
          <w:headerReference r:id="rId7" w:type="first"/>
          <w:footerReference r:id="rId8" w:type="first"/>
          <w:type w:val="continuous"/>
          <w:pgSz w:w="16839" w:h="11907" w:orient="landscape"/>
          <w:pgMar w:top="1440" w:right="1440" w:bottom="1440" w:left="1440" w:header="720" w:footer="174" w:gutter="0"/>
          <w:pgNumType w:fmt="lowerRoman"/>
          <w:cols w:space="720" w:num="1"/>
          <w:titlePg/>
          <w:docGrid w:linePitch="360" w:charSpace="0"/>
        </w:sectPr>
      </w:pPr>
      <w:r>
        <w:fldChar w:fldCharType="end"/>
      </w:r>
    </w:p>
    <w:p/>
    <w:p>
      <w:pPr>
        <w:pStyle w:val="2"/>
        <w:sectPr>
          <w:type w:val="continuous"/>
          <w:pgSz w:w="16839" w:h="11907" w:orient="landscape"/>
          <w:pgMar w:top="1440" w:right="1440" w:bottom="1440" w:left="1440" w:header="720" w:footer="174" w:gutter="0"/>
          <w:pgNumType w:fmt="lowerRoman" w:start="1"/>
          <w:cols w:space="720" w:num="2"/>
          <w:titlePg/>
          <w:docGrid w:linePitch="360" w:charSpace="0"/>
        </w:sectPr>
      </w:pPr>
    </w:p>
    <w:p>
      <w:pPr>
        <w:pStyle w:val="2"/>
        <w:tabs>
          <w:tab w:val="left" w:pos="13500"/>
        </w:tabs>
      </w:pPr>
      <w:bookmarkStart w:id="3" w:name="_Toc431267216"/>
      <w:r>
        <w:t>Daftar Tabel</w:t>
      </w:r>
      <w:bookmarkEnd w:id="3"/>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TOC \h \z \c "Tabel 2." </w:instrText>
      </w:r>
      <w:r>
        <w:fldChar w:fldCharType="separate"/>
      </w:r>
      <w:r>
        <w:fldChar w:fldCharType="begin"/>
      </w:r>
      <w:r>
        <w:instrText xml:space="preserve"> HYPERLINK \l "_Toc430523083" </w:instrText>
      </w:r>
      <w:r>
        <w:fldChar w:fldCharType="separate"/>
      </w:r>
      <w:r>
        <w:rPr>
          <w:rStyle w:val="24"/>
        </w:rPr>
        <w:t>Tabel 2. 1</w:t>
      </w:r>
      <w:r>
        <w:rPr>
          <w:rStyle w:val="24"/>
          <w:lang w:val="id-ID"/>
        </w:rPr>
        <w:t xml:space="preserve"> Kinerja Aspek Pelayanan tahun 2009-2014</w:t>
      </w:r>
      <w:r>
        <w:tab/>
      </w:r>
      <w:r>
        <w:fldChar w:fldCharType="begin"/>
      </w:r>
      <w:r>
        <w:instrText xml:space="preserve"> PAGEREF _Toc430523083 \h </w:instrText>
      </w:r>
      <w:r>
        <w:fldChar w:fldCharType="separate"/>
      </w:r>
      <w:r>
        <w:t>10</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"_Toc430523084" </w:instrText>
      </w:r>
      <w:r>
        <w:fldChar w:fldCharType="separate"/>
      </w:r>
      <w:r>
        <w:rPr>
          <w:rStyle w:val="24"/>
        </w:rPr>
        <w:t>Tabel 2.2 Sepuluh Penyakit Terbanyak Semester I tahun 2014</w:t>
      </w:r>
      <w:r>
        <w:tab/>
      </w:r>
      <w:r>
        <w:fldChar w:fldCharType="begin"/>
      </w:r>
      <w:r>
        <w:instrText xml:space="preserve"> PAGEREF _Toc430523084 \h </w:instrText>
      </w:r>
      <w:r>
        <w:fldChar w:fldCharType="separate"/>
      </w:r>
      <w:r>
        <w:t>13</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"_Toc430523085" </w:instrText>
      </w:r>
      <w:r>
        <w:fldChar w:fldCharType="separate"/>
      </w:r>
      <w:r>
        <w:rPr>
          <w:rStyle w:val="24"/>
        </w:rPr>
        <w:t>Tabel 2.3</w:t>
      </w:r>
      <w:r>
        <w:rPr>
          <w:rStyle w:val="24"/>
          <w:lang w:val="id-ID"/>
        </w:rPr>
        <w:t xml:space="preserve"> Kunjungan Pasien Rawat Jalan Per Cara Bayar </w:t>
      </w:r>
      <w:r>
        <w:rPr>
          <w:rStyle w:val="24"/>
        </w:rPr>
        <w:t xml:space="preserve">Semester I Tahun </w:t>
      </w:r>
      <w:r>
        <w:rPr>
          <w:rStyle w:val="24"/>
          <w:lang w:val="id-ID"/>
        </w:rPr>
        <w:t>2014</w:t>
      </w:r>
      <w:r>
        <w:tab/>
      </w:r>
      <w:r>
        <w:fldChar w:fldCharType="begin"/>
      </w:r>
      <w:r>
        <w:instrText xml:space="preserve"> PAGEREF _Toc430523085 \h </w:instrText>
      </w:r>
      <w:r>
        <w:fldChar w:fldCharType="separate"/>
      </w:r>
      <w:r>
        <w:t>13</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"_Toc430523086" </w:instrText>
      </w:r>
      <w:r>
        <w:fldChar w:fldCharType="separate"/>
      </w:r>
      <w:r>
        <w:rPr>
          <w:rStyle w:val="24"/>
        </w:rPr>
        <w:t>Tabel 2.4 NDR per ruangan Semester I 2014</w:t>
      </w:r>
      <w:r>
        <w:tab/>
      </w:r>
      <w:r>
        <w:fldChar w:fldCharType="begin"/>
      </w:r>
      <w:r>
        <w:instrText xml:space="preserve"> PAGEREF _Toc430523086 \h </w:instrText>
      </w:r>
      <w:r>
        <w:fldChar w:fldCharType="separate"/>
      </w:r>
      <w:r>
        <w:t>20</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"_Toc430523087" </w:instrText>
      </w:r>
      <w:r>
        <w:fldChar w:fldCharType="separate"/>
      </w:r>
      <w:r>
        <w:rPr>
          <w:rStyle w:val="24"/>
        </w:rPr>
        <w:t>Tabel 2.5 Hasil Perhitungan Rasio Keuangan Tahun 2009-2013</w:t>
      </w:r>
      <w:r>
        <w:tab/>
      </w:r>
      <w:r>
        <w:fldChar w:fldCharType="begin"/>
      </w:r>
      <w:r>
        <w:instrText xml:space="preserve"> PAGEREF _Toc430523087 \h </w:instrText>
      </w:r>
      <w:r>
        <w:fldChar w:fldCharType="separate"/>
      </w:r>
      <w:r>
        <w:t>28</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"_Toc430523088" </w:instrText>
      </w:r>
      <w:r>
        <w:fldChar w:fldCharType="separate"/>
      </w:r>
      <w:r>
        <w:rPr>
          <w:rStyle w:val="24"/>
        </w:rPr>
        <w:t>Tabel 2.6 Skor Kinerja Keuangan Tahun 2009-2013</w:t>
      </w:r>
      <w:r>
        <w:tab/>
      </w:r>
      <w:r>
        <w:fldChar w:fldCharType="begin"/>
      </w:r>
      <w:r>
        <w:instrText xml:space="preserve"> PAGEREF _Toc430523088 \h </w:instrText>
      </w:r>
      <w:r>
        <w:fldChar w:fldCharType="separate"/>
      </w:r>
      <w:r>
        <w:t>31</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"_Toc430523089" </w:instrText>
      </w:r>
      <w:r>
        <w:fldChar w:fldCharType="separate"/>
      </w:r>
      <w:r>
        <w:rPr>
          <w:rStyle w:val="24"/>
        </w:rPr>
        <w:t>Tabel 2.7 Realisasi Pencapaian Pendapatan Tahun 2009-2013</w:t>
      </w:r>
      <w:r>
        <w:tab/>
      </w:r>
      <w:r>
        <w:fldChar w:fldCharType="begin"/>
      </w:r>
      <w:r>
        <w:instrText xml:space="preserve"> PAGEREF _Toc430523089 \h </w:instrText>
      </w:r>
      <w:r>
        <w:fldChar w:fldCharType="separate"/>
      </w:r>
      <w:r>
        <w:t>32</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"_Toc430523090" </w:instrText>
      </w:r>
      <w:r>
        <w:fldChar w:fldCharType="separate"/>
      </w:r>
      <w:r>
        <w:rPr>
          <w:rStyle w:val="24"/>
        </w:rPr>
        <w:t>Tabel 2.8 Realisasi Belanja RSUP Dr. Hasan Sadikin Bandung</w:t>
      </w:r>
      <w:r>
        <w:tab/>
      </w:r>
      <w:r>
        <w:fldChar w:fldCharType="begin"/>
      </w:r>
      <w:r>
        <w:instrText xml:space="preserve"> PAGEREF _Toc430523090 \h </w:instrText>
      </w:r>
      <w:r>
        <w:fldChar w:fldCharType="separate"/>
      </w:r>
      <w:r>
        <w:t>33</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"_Toc430523091" </w:instrText>
      </w:r>
      <w:r>
        <w:fldChar w:fldCharType="separate"/>
      </w:r>
      <w:r>
        <w:rPr>
          <w:rStyle w:val="24"/>
        </w:rPr>
        <w:t>Tabel 2.9 Realisasi Pendapatan dan Biaya Periode tahun 2009-2013</w:t>
      </w:r>
      <w:r>
        <w:tab/>
      </w:r>
      <w:r>
        <w:fldChar w:fldCharType="begin"/>
      </w:r>
      <w:r>
        <w:instrText xml:space="preserve"> PAGEREF _Toc430523091 \h </w:instrText>
      </w:r>
      <w:r>
        <w:fldChar w:fldCharType="separate"/>
      </w:r>
      <w:r>
        <w:t>34</w:t>
      </w:r>
      <w:r>
        <w:fldChar w:fldCharType="end"/>
      </w:r>
      <w: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"_Toc430523092" </w:instrText>
      </w:r>
      <w:r>
        <w:fldChar w:fldCharType="separate"/>
      </w:r>
      <w:r>
        <w:rPr>
          <w:rStyle w:val="24"/>
        </w:rPr>
        <w:t>Tabel 2.10 Nilai Terendah dari Unsur-unsur Indeks Kepuasan Pasien Skor Nilai 1-4</w:t>
      </w:r>
      <w:r>
        <w:tab/>
      </w:r>
      <w:r>
        <w:fldChar w:fldCharType="begin"/>
      </w:r>
      <w:r>
        <w:instrText xml:space="preserve"> PAGEREF _Toc430523092 \h </w:instrText>
      </w:r>
      <w:r>
        <w:fldChar w:fldCharType="separate"/>
      </w:r>
      <w:r>
        <w:t>37</w:t>
      </w:r>
      <w:r>
        <w:fldChar w:fldCharType="end"/>
      </w:r>
      <w:r>
        <w:fldChar w:fldCharType="end"/>
      </w:r>
    </w:p>
    <w:p>
      <w:pPr>
        <w:pStyle w:val="17"/>
        <w:tabs>
          <w:tab w:val="right" w:pos="13949"/>
        </w:tabs>
      </w:pPr>
      <w:r>
        <w:fldChar w:fldCharType="begin"/>
      </w:r>
      <w:r>
        <w:instrText xml:space="preserve"> HYPERLINK \l "_Toc430523094" </w:instrText>
      </w:r>
      <w:r>
        <w:fldChar w:fldCharType="separate"/>
      </w:r>
      <w:r>
        <w:rPr>
          <w:rStyle w:val="24"/>
        </w:rPr>
        <w:t>Tabel 2.12. Gambaran Kinerja Finansial Dan Gambaran Kinerja Aspek Keuangan Selama Periode Tahun 2010 – Semester I Tahun 2014</w:t>
      </w:r>
      <w:r>
        <w:tab/>
      </w:r>
      <w:r>
        <w:fldChar w:fldCharType="begin"/>
      </w:r>
      <w:r>
        <w:instrText xml:space="preserve"> PAGEREF _Toc430523094 \h </w:instrText>
      </w:r>
      <w:r>
        <w:fldChar w:fldCharType="separate"/>
      </w:r>
      <w:r>
        <w:rPr>
          <w:b/>
        </w:rPr>
        <w:t>Error! Bookmark not defined.</w:t>
      </w:r>
      <w:r>
        <w:fldChar w:fldCharType="end"/>
      </w:r>
      <w:r>
        <w:fldChar w:fldCharType="end"/>
      </w:r>
      <w:r>
        <w:fldChar w:fldCharType="end"/>
      </w:r>
      <w:r>
        <w:fldChar w:fldCharType="begin"/>
      </w:r>
      <w:r>
        <w:instrText xml:space="preserve"> TOC \h \z \c "Tabel 4." </w:instrText>
      </w:r>
      <w:r>
        <w:fldChar w:fldCharType="separate"/>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"_Toc430523098" </w:instrText>
      </w:r>
      <w:r>
        <w:fldChar w:fldCharType="separate"/>
      </w:r>
      <w:r>
        <w:rPr>
          <w:rStyle w:val="24"/>
          <w:color w:val="auto"/>
        </w:rPr>
        <w:t xml:space="preserve">Tabel 4.1 Harapan dan Kekhawatiran Utama </w:t>
      </w:r>
      <w:r>
        <w:rPr>
          <w:rStyle w:val="24"/>
          <w:i/>
          <w:color w:val="auto"/>
        </w:rPr>
        <w:t>Stakeholder</w:t>
      </w:r>
      <w:r>
        <w:rPr>
          <w:rStyle w:val="24"/>
          <w:color w:val="auto"/>
        </w:rPr>
        <w:t xml:space="preserve"> Utama</w:t>
      </w:r>
      <w:r>
        <w:tab/>
      </w:r>
      <w:r>
        <w:rPr>
          <w:lang w:val="id-ID"/>
        </w:rPr>
        <w:t>44</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"_Toc430523099" </w:instrText>
      </w:r>
      <w:r>
        <w:fldChar w:fldCharType="separate"/>
      </w:r>
      <w:r>
        <w:rPr>
          <w:rStyle w:val="24"/>
          <w:color w:val="auto"/>
        </w:rPr>
        <w:t>Tabel 4.2 Tata Nilai RSHS 2015-2019</w:t>
      </w:r>
      <w:r>
        <w:tab/>
      </w:r>
      <w:r>
        <w:rPr>
          <w:lang w:val="id-ID"/>
        </w:rPr>
        <w:t>47</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"_Toc430523100" </w:instrText>
      </w:r>
      <w:r>
        <w:fldChar w:fldCharType="separate"/>
      </w:r>
      <w:r>
        <w:rPr>
          <w:rStyle w:val="24"/>
          <w:color w:val="auto"/>
        </w:rPr>
        <w:t>Tabel 4.3 Peluang (</w:t>
      </w:r>
      <w:r>
        <w:rPr>
          <w:rStyle w:val="24"/>
          <w:i/>
          <w:color w:val="auto"/>
        </w:rPr>
        <w:t>Opportunity</w:t>
      </w:r>
      <w:r>
        <w:rPr>
          <w:rStyle w:val="24"/>
          <w:color w:val="auto"/>
        </w:rPr>
        <w:t>)</w:t>
      </w:r>
      <w:r>
        <w:rPr>
          <w:rStyle w:val="24"/>
          <w:color w:val="auto"/>
          <w:lang w:val="id-ID"/>
        </w:rPr>
        <w:t xml:space="preserve"> RSHS</w:t>
      </w:r>
      <w:r>
        <w:tab/>
      </w:r>
      <w:r>
        <w:rPr>
          <w:lang w:val="id-ID"/>
        </w:rPr>
        <w:t>52</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"_Toc430523101" </w:instrText>
      </w:r>
      <w:r>
        <w:fldChar w:fldCharType="separate"/>
      </w:r>
      <w:r>
        <w:rPr>
          <w:rStyle w:val="24"/>
          <w:color w:val="auto"/>
        </w:rPr>
        <w:t>Tabel 4.4 Ancaman (</w:t>
      </w:r>
      <w:r>
        <w:rPr>
          <w:rStyle w:val="24"/>
          <w:i/>
          <w:color w:val="auto"/>
        </w:rPr>
        <w:t>Threat</w:t>
      </w:r>
      <w:r>
        <w:rPr>
          <w:rStyle w:val="24"/>
          <w:color w:val="auto"/>
        </w:rPr>
        <w:t>)</w:t>
      </w:r>
      <w:r>
        <w:rPr>
          <w:rStyle w:val="24"/>
          <w:color w:val="auto"/>
          <w:lang w:val="id-ID"/>
        </w:rPr>
        <w:t xml:space="preserve"> RSHS</w:t>
      </w:r>
      <w:r>
        <w:tab/>
      </w:r>
      <w:r>
        <w:rPr>
          <w:lang w:val="id-ID"/>
        </w:rPr>
        <w:t>52</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"_Toc430523102" </w:instrText>
      </w:r>
      <w:r>
        <w:fldChar w:fldCharType="separate"/>
      </w:r>
      <w:r>
        <w:rPr>
          <w:rStyle w:val="24"/>
          <w:color w:val="auto"/>
        </w:rPr>
        <w:t>Tabel 4.5 Kekuatan (</w:t>
      </w:r>
      <w:r>
        <w:rPr>
          <w:rStyle w:val="24"/>
          <w:i/>
          <w:color w:val="auto"/>
        </w:rPr>
        <w:t>Strength</w:t>
      </w:r>
      <w:r>
        <w:rPr>
          <w:rStyle w:val="24"/>
          <w:color w:val="auto"/>
        </w:rPr>
        <w:t>)</w:t>
      </w:r>
      <w:r>
        <w:rPr>
          <w:rStyle w:val="24"/>
          <w:color w:val="auto"/>
          <w:lang w:val="id-ID"/>
        </w:rPr>
        <w:t xml:space="preserve"> RSHS</w:t>
      </w:r>
      <w:r>
        <w:tab/>
      </w:r>
      <w:r>
        <w:fldChar w:fldCharType="end"/>
      </w:r>
      <w:r>
        <w:rPr>
          <w:lang w:val="id-ID"/>
        </w:rPr>
        <w:t>53</w:t>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"_Toc430523103" </w:instrText>
      </w:r>
      <w:r>
        <w:fldChar w:fldCharType="separate"/>
      </w:r>
      <w:r>
        <w:rPr>
          <w:rStyle w:val="24"/>
          <w:color w:val="auto"/>
        </w:rPr>
        <w:t>Tabel 4.6 Kelemahan (</w:t>
      </w:r>
      <w:r>
        <w:rPr>
          <w:rStyle w:val="24"/>
          <w:i/>
          <w:color w:val="auto"/>
        </w:rPr>
        <w:t>Weakness</w:t>
      </w:r>
      <w:r>
        <w:rPr>
          <w:rStyle w:val="24"/>
          <w:color w:val="auto"/>
        </w:rPr>
        <w:t>)</w:t>
      </w:r>
      <w:r>
        <w:rPr>
          <w:rStyle w:val="24"/>
          <w:color w:val="auto"/>
          <w:lang w:val="id-ID"/>
        </w:rPr>
        <w:t xml:space="preserve"> RSHS</w:t>
      </w:r>
      <w:r>
        <w:tab/>
      </w:r>
      <w:r>
        <w:rPr>
          <w:lang w:val="id-ID"/>
        </w:rPr>
        <w:t>53</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"_Toc430523104" </w:instrText>
      </w:r>
      <w:r>
        <w:fldChar w:fldCharType="separate"/>
      </w:r>
      <w:r>
        <w:rPr>
          <w:rStyle w:val="24"/>
          <w:color w:val="auto"/>
        </w:rPr>
        <w:t>Tabel 4.7 Hasil Analisis TOWS</w:t>
      </w:r>
      <w:r>
        <w:rPr>
          <w:rStyle w:val="24"/>
          <w:color w:val="auto"/>
          <w:lang w:val="id-ID"/>
        </w:rPr>
        <w:t xml:space="preserve"> (Strategi </w:t>
      </w:r>
      <w:r>
        <w:rPr>
          <w:rStyle w:val="24"/>
          <w:color w:val="auto"/>
        </w:rPr>
        <w:t>SO</w:t>
      </w:r>
      <w:r>
        <w:rPr>
          <w:rStyle w:val="24"/>
          <w:color w:val="auto"/>
          <w:lang w:val="id-ID"/>
        </w:rPr>
        <w:t>) RSHS</w:t>
      </w:r>
      <w:r>
        <w:tab/>
      </w:r>
      <w:r>
        <w:rPr>
          <w:lang w:val="id-ID"/>
        </w:rPr>
        <w:t>56</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"_Toc430523105" </w:instrText>
      </w:r>
      <w:r>
        <w:fldChar w:fldCharType="separate"/>
      </w:r>
      <w:r>
        <w:rPr>
          <w:rStyle w:val="24"/>
          <w:color w:val="auto"/>
        </w:rPr>
        <w:t>Tabel 4.8 Hasil Analisis TOWS</w:t>
      </w:r>
      <w:r>
        <w:rPr>
          <w:rStyle w:val="24"/>
          <w:color w:val="auto"/>
          <w:lang w:val="id-ID"/>
        </w:rPr>
        <w:t xml:space="preserve"> (Strategi </w:t>
      </w:r>
      <w:r>
        <w:rPr>
          <w:rStyle w:val="24"/>
          <w:color w:val="auto"/>
        </w:rPr>
        <w:t>ST</w:t>
      </w:r>
      <w:r>
        <w:rPr>
          <w:rStyle w:val="24"/>
          <w:color w:val="auto"/>
          <w:lang w:val="id-ID"/>
        </w:rPr>
        <w:t>) RSHS</w:t>
      </w:r>
      <w:r>
        <w:tab/>
      </w:r>
      <w:r>
        <w:rPr>
          <w:lang w:val="id-ID"/>
        </w:rPr>
        <w:t>57</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"_Toc430523106" </w:instrText>
      </w:r>
      <w:r>
        <w:fldChar w:fldCharType="separate"/>
      </w:r>
      <w:r>
        <w:rPr>
          <w:rStyle w:val="24"/>
          <w:color w:val="auto"/>
        </w:rPr>
        <w:t>Tabel 4.9 Analisis TOWS (Strategi WO)</w:t>
      </w:r>
      <w:r>
        <w:rPr>
          <w:rStyle w:val="24"/>
          <w:color w:val="auto"/>
          <w:lang w:val="id-ID"/>
        </w:rPr>
        <w:t xml:space="preserve"> RSHS</w:t>
      </w:r>
      <w:r>
        <w:tab/>
      </w:r>
      <w:r>
        <w:rPr>
          <w:lang w:val="id-ID"/>
        </w:rPr>
        <w:t>58</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"_Toc430523107" </w:instrText>
      </w:r>
      <w:r>
        <w:fldChar w:fldCharType="separate"/>
      </w:r>
      <w:r>
        <w:tab/>
      </w:r>
      <w:r>
        <w:fldChar w:fldCharType="end"/>
      </w:r>
    </w:p>
    <w:p>
      <w:pPr>
        <w:pStyle w:val="17"/>
        <w:tabs>
          <w:tab w:val="right" w:pos="13949"/>
        </w:tabs>
      </w:pPr>
      <w:r>
        <w:fldChar w:fldCharType="end"/>
      </w:r>
      <w:r>
        <w:fldChar w:fldCharType="begin"/>
      </w:r>
      <w:r>
        <w:instrText xml:space="preserve"> TOC \h \z \c "Tabel 5." </w:instrText>
      </w:r>
      <w:r>
        <w:fldChar w:fldCharType="separate"/>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"_Toc430523172" </w:instrText>
      </w:r>
      <w:r>
        <w:fldChar w:fldCharType="separate"/>
      </w:r>
      <w:r>
        <w:rPr>
          <w:rStyle w:val="24"/>
        </w:rPr>
        <w:t>Tabel 5.1 Indikator Kinerja Utama (KPI)</w:t>
      </w:r>
      <w:r>
        <w:tab/>
      </w:r>
      <w:r>
        <w:rPr>
          <w:lang w:val="id-ID"/>
        </w:rPr>
        <w:t>64</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"_Toc430523173" </w:instrText>
      </w:r>
      <w:r>
        <w:fldChar w:fldCharType="separate"/>
      </w:r>
      <w:r>
        <w:rPr>
          <w:rStyle w:val="24"/>
        </w:rPr>
        <w:t>Tabel 5.2 Matriks KPI</w:t>
      </w:r>
      <w:r>
        <w:tab/>
      </w:r>
      <w:r>
        <w:rPr>
          <w:lang w:val="id-ID"/>
        </w:rPr>
        <w:t>67</w:t>
      </w:r>
      <w:r>
        <w:rPr>
          <w:lang w:val="id-ID"/>
        </w:rPr>
        <w:fldChar w:fldCharType="end"/>
      </w:r>
    </w:p>
    <w:p>
      <w:pPr>
        <w:pStyle w:val="17"/>
        <w:tabs>
          <w:tab w:val="right" w:pos="13949"/>
        </w:tabs>
        <w:rPr>
          <w:rFonts w:asciiTheme="minorHAnsi" w:hAnsiTheme="minorHAnsi" w:eastAsiaTheme="minorEastAsia" w:cstheme="minorBidi"/>
          <w:sz w:val="22"/>
          <w:lang w:val="id-ID" w:eastAsia="id-ID"/>
        </w:rPr>
      </w:pPr>
      <w:r>
        <w:fldChar w:fldCharType="begin"/>
      </w:r>
      <w:r>
        <w:instrText xml:space="preserve"> HYPERLINK \l "_Toc430523174" </w:instrText>
      </w:r>
      <w:r>
        <w:fldChar w:fldCharType="separate"/>
      </w:r>
      <w:r>
        <w:rPr>
          <w:rStyle w:val="24"/>
        </w:rPr>
        <w:t>Tabel 5.3 Program Kerja Strategis</w:t>
      </w:r>
      <w:r>
        <w:tab/>
      </w:r>
      <w:r>
        <w:rPr>
          <w:lang w:val="id-ID"/>
        </w:rPr>
        <w:t>72</w:t>
      </w:r>
      <w:r>
        <w:rPr>
          <w:lang w:val="id-ID"/>
        </w:rPr>
        <w:fldChar w:fldCharType="end"/>
      </w:r>
    </w:p>
    <w:p>
      <w:pPr>
        <w:pStyle w:val="17"/>
        <w:tabs>
          <w:tab w:val="right" w:pos="13892"/>
        </w:tabs>
        <w:rPr>
          <w:rFonts w:asciiTheme="minorHAnsi" w:hAnsiTheme="minorHAnsi" w:eastAsiaTheme="minorEastAsia" w:cstheme="minorBidi"/>
          <w:sz w:val="22"/>
          <w:lang w:val="id-ID" w:eastAsia="id-ID"/>
        </w:rPr>
      </w:pPr>
      <w:r>
        <w:fldChar w:fldCharType="end"/>
      </w:r>
      <w:r>
        <w:fldChar w:fldCharType="begin"/>
      </w:r>
      <w:r>
        <w:instrText xml:space="preserve"> TOC \h \z \c "Tabel 6. " </w:instrText>
      </w:r>
      <w:r>
        <w:fldChar w:fldCharType="separate"/>
      </w:r>
      <w:r>
        <w:fldChar w:fldCharType="begin"/>
      </w:r>
      <w:r>
        <w:instrText xml:space="preserve"> HYPERLINK \l "_Toc430523111" </w:instrText>
      </w:r>
      <w:r>
        <w:fldChar w:fldCharType="separate"/>
      </w:r>
      <w:r>
        <w:rPr>
          <w:rStyle w:val="24"/>
        </w:rPr>
        <w:t>Tabel 6.1 Acuan Penilaian Risiko</w:t>
      </w:r>
      <w:r>
        <w:tab/>
      </w:r>
      <w:r>
        <w:rPr>
          <w:lang w:val="id-ID"/>
        </w:rPr>
        <w:t>96</w:t>
      </w:r>
      <w:r>
        <w:rPr>
          <w:lang w:val="id-ID"/>
        </w:rPr>
        <w:fldChar w:fldCharType="end"/>
      </w:r>
    </w:p>
    <w:p>
      <w:pPr>
        <w:pStyle w:val="17"/>
        <w:tabs>
          <w:tab w:val="right" w:pos="13892"/>
          <w:tab w:val="right" w:pos="13949"/>
        </w:tabs>
        <w:rPr>
          <w:rFonts w:asciiTheme="minorHAnsi" w:hAnsiTheme="minorHAnsi" w:eastAsiaTheme="minorEastAsia" w:cstheme="minorBidi"/>
          <w:sz w:val="22"/>
          <w:lang w:val="id-ID" w:eastAsia="id-ID"/>
        </w:rPr>
      </w:pPr>
      <w:r>
        <w:fldChar w:fldCharType="begin"/>
      </w:r>
      <w:r>
        <w:instrText xml:space="preserve"> HYPERLINK \l "_Toc430523112" </w:instrText>
      </w:r>
      <w:r>
        <w:fldChar w:fldCharType="separate"/>
      </w:r>
      <w:r>
        <w:rPr>
          <w:rStyle w:val="24"/>
        </w:rPr>
        <w:t>Tabel 6.2</w:t>
      </w:r>
      <w:r>
        <w:rPr>
          <w:rStyle w:val="24"/>
          <w:lang w:val="id-ID"/>
        </w:rPr>
        <w:t>.</w:t>
      </w:r>
      <w:r>
        <w:rPr>
          <w:rStyle w:val="24"/>
        </w:rPr>
        <w:t>Pemetaan Risiko terkait Pencapaian Sasaran Strategis</w:t>
      </w:r>
      <w:r>
        <w:tab/>
      </w:r>
      <w:r>
        <w:rPr>
          <w:lang w:val="id-ID"/>
        </w:rPr>
        <w:t>97</w:t>
      </w:r>
      <w:r>
        <w:rPr>
          <w:lang w:val="id-ID"/>
        </w:rPr>
        <w:fldChar w:fldCharType="end"/>
      </w:r>
    </w:p>
    <w:p>
      <w:pPr>
        <w:pStyle w:val="17"/>
        <w:tabs>
          <w:tab w:val="right" w:pos="13892"/>
          <w:tab w:val="right" w:pos="13949"/>
        </w:tabs>
        <w:rPr>
          <w:rFonts w:asciiTheme="minorHAnsi" w:hAnsiTheme="minorHAnsi" w:eastAsiaTheme="minorEastAsia" w:cstheme="minorBidi"/>
          <w:sz w:val="22"/>
          <w:lang w:val="id-ID" w:eastAsia="id-ID"/>
        </w:rPr>
      </w:pPr>
      <w:r>
        <w:fldChar w:fldCharType="begin"/>
      </w:r>
      <w:r>
        <w:instrText xml:space="preserve"> HYPERLINK \l "_Toc430523113" </w:instrText>
      </w:r>
      <w:r>
        <w:fldChar w:fldCharType="separate"/>
      </w:r>
      <w:r>
        <w:rPr>
          <w:rStyle w:val="24"/>
          <w:lang w:val="id-ID"/>
        </w:rPr>
        <w:t>T</w:t>
      </w:r>
      <w:r>
        <w:rPr>
          <w:rStyle w:val="24"/>
        </w:rPr>
        <w:t>abel 6.3</w:t>
      </w:r>
      <w:r>
        <w:rPr>
          <w:rStyle w:val="24"/>
          <w:lang w:val="id-ID"/>
        </w:rPr>
        <w:t>.</w:t>
      </w:r>
      <w:r>
        <w:rPr>
          <w:rStyle w:val="24"/>
        </w:rPr>
        <w:t>Rencana Mitigasi Risiko</w:t>
      </w:r>
      <w:r>
        <w:tab/>
      </w:r>
      <w:r>
        <w:rPr>
          <w:lang w:val="id-ID"/>
        </w:rPr>
        <w:t>99</w:t>
      </w:r>
      <w:r>
        <w:rPr>
          <w:lang w:val="id-ID"/>
        </w:rPr>
        <w:fldChar w:fldCharType="end"/>
      </w:r>
    </w:p>
    <w:p>
      <w:pPr>
        <w:pStyle w:val="17"/>
        <w:tabs>
          <w:tab w:val="right" w:pos="13892"/>
        </w:tabs>
        <w:rPr>
          <w:rFonts w:asciiTheme="minorHAnsi" w:hAnsiTheme="minorHAnsi" w:eastAsiaTheme="minorEastAsia" w:cstheme="minorBidi"/>
          <w:color w:val="000000" w:themeColor="text1"/>
          <w:sz w:val="22"/>
          <w:lang w:val="id-ID" w:eastAsia="id-ID"/>
          <w14:textFill>
            <w14:solidFill>
              <w14:schemeClr w14:val="tx1"/>
            </w14:solidFill>
          </w14:textFill>
        </w:rPr>
      </w:pPr>
      <w:r>
        <w:fldChar w:fldCharType="end"/>
      </w:r>
      <w:r>
        <w:fldChar w:fldCharType="begin"/>
      </w:r>
      <w:r>
        <w:instrText xml:space="preserve"> HYPERLINK \l "_Toc430523111" </w:instrText>
      </w:r>
      <w:r>
        <w:fldChar w:fldCharType="separate"/>
      </w:r>
      <w:r>
        <w:rPr>
          <w:rStyle w:val="24"/>
          <w:color w:val="000000" w:themeColor="text1"/>
          <w:u w:val="none"/>
          <w14:textFill>
            <w14:solidFill>
              <w14:schemeClr w14:val="tx1"/>
            </w14:solidFill>
          </w14:textFill>
        </w:rPr>
        <w:t xml:space="preserve">Tabel </w:t>
      </w:r>
      <w:r>
        <w:rPr>
          <w:rStyle w:val="24"/>
          <w:color w:val="000000" w:themeColor="text1"/>
          <w:u w:val="none"/>
          <w:lang w:val="id-ID"/>
          <w14:textFill>
            <w14:solidFill>
              <w14:schemeClr w14:val="tx1"/>
            </w14:solidFill>
          </w14:textFill>
        </w:rPr>
        <w:t>7</w:t>
      </w:r>
      <w:r>
        <w:rPr>
          <w:rStyle w:val="24"/>
          <w:color w:val="000000" w:themeColor="text1"/>
          <w:u w:val="none"/>
          <w14:textFill>
            <w14:solidFill>
              <w14:schemeClr w14:val="tx1"/>
            </w14:solidFill>
          </w14:textFill>
        </w:rPr>
        <w:t>.1 Estimasi pendapatan RSUP. Dr. Hasan Sadikin Bandung periode 2015-2019</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color w:val="000000" w:themeColor="text1"/>
          <w:lang w:val="id-ID"/>
          <w14:textFill>
            <w14:solidFill>
              <w14:schemeClr w14:val="tx1"/>
            </w14:solidFill>
          </w14:textFill>
        </w:rPr>
        <w:t>104</w:t>
      </w:r>
    </w:p>
    <w:p>
      <w:pPr>
        <w:pStyle w:val="17"/>
        <w:tabs>
          <w:tab w:val="right" w:pos="13892"/>
          <w:tab w:val="right" w:pos="13949"/>
        </w:tabs>
        <w:rPr>
          <w:rFonts w:asciiTheme="minorHAnsi" w:hAnsiTheme="minorHAnsi" w:eastAsiaTheme="minorEastAsia" w:cstheme="minorBidi"/>
          <w:color w:val="000000" w:themeColor="text1"/>
          <w:sz w:val="22"/>
          <w:lang w:val="id-ID" w:eastAsia="id-ID"/>
          <w14:textFill>
            <w14:solidFill>
              <w14:schemeClr w14:val="tx1"/>
            </w14:solidFill>
          </w14:textFill>
        </w:rPr>
      </w:pPr>
      <w:r>
        <w:fldChar w:fldCharType="begin"/>
      </w:r>
      <w:r>
        <w:instrText xml:space="preserve"> HYPERLINK \l "_Toc430523112" </w:instrText>
      </w:r>
      <w:r>
        <w:fldChar w:fldCharType="separate"/>
      </w:r>
      <w:r>
        <w:rPr>
          <w:rStyle w:val="24"/>
          <w:color w:val="000000" w:themeColor="text1"/>
          <w:u w:val="none"/>
          <w14:textFill>
            <w14:solidFill>
              <w14:schemeClr w14:val="tx1"/>
            </w14:solidFill>
          </w14:textFill>
        </w:rPr>
        <w:t xml:space="preserve">Tabel </w:t>
      </w:r>
      <w:r>
        <w:rPr>
          <w:rStyle w:val="24"/>
          <w:color w:val="000000" w:themeColor="text1"/>
          <w:u w:val="none"/>
          <w:lang w:val="id-ID"/>
          <w14:textFill>
            <w14:solidFill>
              <w14:schemeClr w14:val="tx1"/>
            </w14:solidFill>
          </w14:textFill>
        </w:rPr>
        <w:t>7</w:t>
      </w:r>
      <w:r>
        <w:rPr>
          <w:rStyle w:val="24"/>
          <w:color w:val="000000" w:themeColor="text1"/>
          <w:u w:val="none"/>
          <w14:textFill>
            <w14:solidFill>
              <w14:schemeClr w14:val="tx1"/>
            </w14:solidFill>
          </w14:textFill>
        </w:rPr>
        <w:t>.2</w:t>
      </w:r>
      <w:r>
        <w:rPr>
          <w:rStyle w:val="24"/>
          <w:color w:val="000000" w:themeColor="text1"/>
          <w:u w:val="none"/>
          <w:lang w:val="id-ID"/>
          <w14:textFill>
            <w14:solidFill>
              <w14:schemeClr w14:val="tx1"/>
            </w14:solidFill>
          </w14:textFill>
        </w:rPr>
        <w:t>.</w:t>
      </w:r>
      <w:r>
        <w:rPr>
          <w:lang w:val="id-ID"/>
        </w:rPr>
        <w:t xml:space="preserve"> Estimasi anggaran operasional RSUP. Dr. Hasan Sadikin Bandung periode 2015-2019</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color w:val="000000" w:themeColor="text1"/>
          <w:lang w:val="id-ID"/>
          <w14:textFill>
            <w14:solidFill>
              <w14:schemeClr w14:val="tx1"/>
            </w14:solidFill>
          </w14:textFill>
        </w:rPr>
        <w:t>106</w:t>
      </w:r>
    </w:p>
    <w:p>
      <w:pPr>
        <w:tabs>
          <w:tab w:val="left" w:pos="13500"/>
        </w:tabs>
        <w:spacing w:after="0" w:line="240" w:lineRule="auto"/>
        <w:rPr>
          <w:lang w:val="id-ID"/>
        </w:rPr>
      </w:pPr>
      <w:r>
        <w:fldChar w:fldCharType="begin"/>
      </w:r>
      <w:r>
        <w:instrText xml:space="preserve"> HYPERLINK \l "_Toc430523113" </w:instrText>
      </w:r>
      <w:r>
        <w:fldChar w:fldCharType="separate"/>
      </w:r>
      <w:r>
        <w:rPr>
          <w:rStyle w:val="24"/>
          <w:color w:val="000000" w:themeColor="text1"/>
          <w:u w:val="none"/>
          <w:lang w:val="id-ID"/>
          <w14:textFill>
            <w14:solidFill>
              <w14:schemeClr w14:val="tx1"/>
            </w14:solidFill>
          </w14:textFill>
        </w:rPr>
        <w:t>T</w:t>
      </w:r>
      <w:r>
        <w:rPr>
          <w:rStyle w:val="24"/>
          <w:color w:val="000000" w:themeColor="text1"/>
          <w:u w:val="none"/>
          <w14:textFill>
            <w14:solidFill>
              <w14:schemeClr w14:val="tx1"/>
            </w14:solidFill>
          </w14:textFill>
        </w:rPr>
        <w:t xml:space="preserve">abel </w:t>
      </w:r>
      <w:r>
        <w:rPr>
          <w:rStyle w:val="24"/>
          <w:color w:val="000000" w:themeColor="text1"/>
          <w:u w:val="none"/>
          <w:lang w:val="id-ID"/>
          <w14:textFill>
            <w14:solidFill>
              <w14:schemeClr w14:val="tx1"/>
            </w14:solidFill>
          </w14:textFill>
        </w:rPr>
        <w:t>7</w:t>
      </w:r>
      <w:r>
        <w:rPr>
          <w:rStyle w:val="24"/>
          <w:color w:val="000000" w:themeColor="text1"/>
          <w:u w:val="none"/>
          <w14:textFill>
            <w14:solidFill>
              <w14:schemeClr w14:val="tx1"/>
            </w14:solidFill>
          </w14:textFill>
        </w:rPr>
        <w:t>.3</w:t>
      </w:r>
      <w:r>
        <w:rPr>
          <w:rStyle w:val="24"/>
          <w:color w:val="000000" w:themeColor="text1"/>
          <w:u w:val="none"/>
          <w:lang w:val="id-ID"/>
          <w14:textFill>
            <w14:solidFill>
              <w14:schemeClr w14:val="tx1"/>
            </w14:solidFill>
          </w14:textFill>
        </w:rPr>
        <w:t>.</w:t>
      </w:r>
      <w:r>
        <w:rPr>
          <w:lang w:val="id-ID"/>
        </w:rPr>
        <w:t xml:space="preserve"> Estimasi Anggaran Pengeluaran </w:t>
      </w:r>
      <w:r>
        <w:t>Program Kerja Strategis</w:t>
      </w:r>
      <w:r>
        <w:rPr>
          <w:color w:val="000000" w:themeColor="text1"/>
          <w14:textFill>
            <w14:solidFill>
              <w14:schemeClr w14:val="tx1"/>
            </w14:solidFill>
          </w14:textFill>
        </w:rPr>
        <w:tab/>
      </w:r>
      <w:r>
        <w:rPr>
          <w:color w:val="000000" w:themeColor="text1"/>
          <w:lang w:val="id-ID"/>
          <w14:textFill>
            <w14:solidFill>
              <w14:schemeClr w14:val="tx1"/>
            </w14:solidFill>
          </w14:textFill>
        </w:rPr>
        <w:t xml:space="preserve"> </w:t>
      </w:r>
      <w:r>
        <w:rPr>
          <w:color w:val="000000" w:themeColor="text1"/>
          <w:lang w:val="id-ID"/>
          <w14:textFill>
            <w14:solidFill>
              <w14:schemeClr w14:val="tx1"/>
            </w14:solidFill>
          </w14:textFill>
        </w:rPr>
        <w:fldChar w:fldCharType="end"/>
      </w:r>
      <w:r>
        <w:rPr>
          <w:color w:val="000000" w:themeColor="text1"/>
          <w:lang w:val="id-ID"/>
          <w14:textFill>
            <w14:solidFill>
              <w14:schemeClr w14:val="tx1"/>
            </w14:solidFill>
          </w14:textFill>
        </w:rPr>
        <w:t>107</w:t>
      </w:r>
    </w:p>
    <w:p>
      <w:pPr>
        <w:tabs>
          <w:tab w:val="left" w:pos="13500"/>
        </w:tabs>
        <w:spacing w:after="0" w:line="240" w:lineRule="auto"/>
        <w:rPr>
          <w:lang w:val="id-ID"/>
        </w:rPr>
      </w:pPr>
      <w:r>
        <w:fldChar w:fldCharType="begin"/>
      </w:r>
      <w:r>
        <w:instrText xml:space="preserve"> HYPERLINK \l "_Toc430523113" </w:instrText>
      </w:r>
      <w:r>
        <w:fldChar w:fldCharType="separate"/>
      </w:r>
      <w:r>
        <w:rPr>
          <w:rStyle w:val="24"/>
          <w:color w:val="000000" w:themeColor="text1"/>
          <w:u w:val="none"/>
          <w:lang w:val="id-ID"/>
          <w14:textFill>
            <w14:solidFill>
              <w14:schemeClr w14:val="tx1"/>
            </w14:solidFill>
          </w14:textFill>
        </w:rPr>
        <w:t>T</w:t>
      </w:r>
      <w:r>
        <w:rPr>
          <w:rStyle w:val="24"/>
          <w:color w:val="000000" w:themeColor="text1"/>
          <w:u w:val="none"/>
          <w14:textFill>
            <w14:solidFill>
              <w14:schemeClr w14:val="tx1"/>
            </w14:solidFill>
          </w14:textFill>
        </w:rPr>
        <w:t xml:space="preserve">abel </w:t>
      </w:r>
      <w:r>
        <w:rPr>
          <w:rStyle w:val="24"/>
          <w:color w:val="000000" w:themeColor="text1"/>
          <w:u w:val="none"/>
          <w:lang w:val="id-ID"/>
          <w14:textFill>
            <w14:solidFill>
              <w14:schemeClr w14:val="tx1"/>
            </w14:solidFill>
          </w14:textFill>
        </w:rPr>
        <w:t>7</w:t>
      </w:r>
      <w:r>
        <w:rPr>
          <w:rStyle w:val="24"/>
          <w:color w:val="000000" w:themeColor="text1"/>
          <w:u w:val="none"/>
          <w14:textFill>
            <w14:solidFill>
              <w14:schemeClr w14:val="tx1"/>
            </w14:solidFill>
          </w14:textFill>
        </w:rPr>
        <w:t>.</w:t>
      </w:r>
      <w:r>
        <w:rPr>
          <w:rStyle w:val="24"/>
          <w:color w:val="000000" w:themeColor="text1"/>
          <w:u w:val="none"/>
          <w:lang w:val="id-ID"/>
          <w14:textFill>
            <w14:solidFill>
              <w14:schemeClr w14:val="tx1"/>
            </w14:solidFill>
          </w14:textFill>
        </w:rPr>
        <w:t>4.</w:t>
      </w:r>
      <w:r>
        <w:rPr>
          <w:lang w:val="id-ID"/>
        </w:rPr>
        <w:t xml:space="preserve"> Rencana Pendanaan</w:t>
      </w:r>
      <w:r>
        <w:rPr>
          <w:color w:val="000000" w:themeColor="text1"/>
          <w14:textFill>
            <w14:solidFill>
              <w14:schemeClr w14:val="tx1"/>
            </w14:solidFill>
          </w14:textFill>
        </w:rPr>
        <w:tab/>
      </w:r>
      <w:r>
        <w:rPr>
          <w:color w:val="000000" w:themeColor="text1"/>
          <w:lang w:val="id-ID"/>
          <w14:textFill>
            <w14:solidFill>
              <w14:schemeClr w14:val="tx1"/>
            </w14:solidFill>
          </w14:textFill>
        </w:rPr>
        <w:t xml:space="preserve"> </w:t>
      </w:r>
      <w:r>
        <w:rPr>
          <w:color w:val="000000" w:themeColor="text1"/>
          <w:lang w:val="id-ID"/>
          <w14:textFill>
            <w14:solidFill>
              <w14:schemeClr w14:val="tx1"/>
            </w14:solidFill>
          </w14:textFill>
        </w:rPr>
        <w:fldChar w:fldCharType="end"/>
      </w:r>
      <w:r>
        <w:rPr>
          <w:color w:val="000000" w:themeColor="text1"/>
          <w:lang w:val="id-ID"/>
          <w14:textFill>
            <w14:solidFill>
              <w14:schemeClr w14:val="tx1"/>
            </w14:solidFill>
          </w14:textFill>
        </w:rPr>
        <w:t>109</w:t>
      </w:r>
    </w:p>
    <w:p>
      <w:pPr>
        <w:tabs>
          <w:tab w:val="left" w:pos="13500"/>
        </w:tabs>
      </w:pPr>
    </w:p>
    <w:p>
      <w:pPr>
        <w:pStyle w:val="2"/>
        <w:sectPr>
          <w:type w:val="continuous"/>
          <w:pgSz w:w="16839" w:h="11907" w:orient="landscape"/>
          <w:pgMar w:top="1440" w:right="1440" w:bottom="1440" w:left="1440" w:header="720" w:footer="174" w:gutter="0"/>
          <w:pgNumType w:fmt="lowerRoman" w:start="5"/>
          <w:cols w:space="720" w:num="1"/>
          <w:titlePg/>
          <w:docGrid w:linePitch="360" w:charSpace="0"/>
        </w:sectPr>
      </w:pPr>
    </w:p>
    <w:p>
      <w:pPr>
        <w:pStyle w:val="2"/>
        <w:pageBreakBefore w:val="0"/>
      </w:pPr>
      <w:bookmarkStart w:id="4" w:name="_Toc431267217"/>
      <w:r>
        <w:t>Daftar Gambar</w:t>
      </w:r>
      <w:bookmarkEnd w:id="4"/>
    </w:p>
    <w:p>
      <w:pPr>
        <w:pStyle w:val="17"/>
        <w:tabs>
          <w:tab w:val="right" w:leader="dot" w:pos="13949"/>
        </w:tabs>
        <w:rPr>
          <w:rFonts w:asciiTheme="minorHAnsi" w:hAnsiTheme="minorHAnsi" w:eastAsiaTheme="minorEastAsia" w:cstheme="minorBidi"/>
          <w:sz w:val="22"/>
          <w:lang w:val="id-ID" w:eastAsia="id-ID"/>
        </w:rPr>
      </w:pPr>
      <w:r>
        <w:fldChar w:fldCharType="begin"/>
      </w:r>
      <w:r>
        <w:instrText xml:space="preserve"> TOC \h \z \c "Gambar 2. " </w:instrText>
      </w:r>
      <w:r>
        <w:fldChar w:fldCharType="separate"/>
      </w:r>
      <w:r>
        <w:fldChar w:fldCharType="begin"/>
      </w:r>
      <w:r>
        <w:instrText xml:space="preserve"> HYPERLINK \l "_Toc430523209" </w:instrText>
      </w:r>
      <w:r>
        <w:fldChar w:fldCharType="separate"/>
      </w:r>
      <w:r>
        <w:rPr>
          <w:rStyle w:val="24"/>
        </w:rPr>
        <w:t>Gambar 2.1</w:t>
      </w:r>
      <w:r>
        <w:rPr>
          <w:rStyle w:val="24"/>
          <w:lang w:val="id-ID"/>
        </w:rPr>
        <w:t xml:space="preserve">  Kunjungan Rawat Jalan Berdasarkan Asal Rujukan Tahun 2009-2014</w:t>
      </w:r>
      <w:r>
        <w:tab/>
      </w:r>
      <w:r>
        <w:fldChar w:fldCharType="begin"/>
      </w:r>
      <w:r>
        <w:instrText xml:space="preserve"> PAGEREF _Toc430523209 \h </w:instrText>
      </w:r>
      <w:r>
        <w:fldChar w:fldCharType="separate"/>
      </w:r>
      <w:r>
        <w:t>12</w:t>
      </w:r>
      <w:r>
        <w:fldChar w:fldCharType="end"/>
      </w:r>
      <w:r>
        <w:fldChar w:fldCharType="end"/>
      </w:r>
    </w:p>
    <w:p>
      <w:pPr>
        <w:pStyle w:val="17"/>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"_Toc430523210" </w:instrText>
      </w:r>
      <w:r>
        <w:fldChar w:fldCharType="separate"/>
      </w:r>
      <w:r>
        <w:rPr>
          <w:rStyle w:val="24"/>
        </w:rPr>
        <w:t>Gambar 2.2</w:t>
      </w:r>
      <w:r>
        <w:rPr>
          <w:rStyle w:val="24"/>
          <w:lang w:val="id-ID"/>
        </w:rPr>
        <w:t xml:space="preserve">  Kunjungan </w:t>
      </w:r>
      <w:r>
        <w:rPr>
          <w:rStyle w:val="24"/>
        </w:rPr>
        <w:t xml:space="preserve">Pasien JKN (Jaminan Kesehatan Nasional) </w:t>
      </w:r>
      <w:r>
        <w:rPr>
          <w:rStyle w:val="24"/>
          <w:lang w:val="id-ID"/>
        </w:rPr>
        <w:t xml:space="preserve">Rawat Jalan </w:t>
      </w:r>
      <w:r>
        <w:rPr>
          <w:rStyle w:val="24"/>
        </w:rPr>
        <w:t>Semester I Tahun 2014</w:t>
      </w:r>
      <w:r>
        <w:tab/>
      </w:r>
      <w:r>
        <w:fldChar w:fldCharType="begin"/>
      </w:r>
      <w:r>
        <w:instrText xml:space="preserve"> PAGEREF _Toc430523210 \h </w:instrText>
      </w:r>
      <w:r>
        <w:fldChar w:fldCharType="separate"/>
      </w:r>
      <w:r>
        <w:t>14</w:t>
      </w:r>
      <w:r>
        <w:fldChar w:fldCharType="end"/>
      </w:r>
      <w:r>
        <w:fldChar w:fldCharType="end"/>
      </w:r>
    </w:p>
    <w:p>
      <w:pPr>
        <w:pStyle w:val="17"/>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"_Toc430523211" </w:instrText>
      </w:r>
      <w:r>
        <w:fldChar w:fldCharType="separate"/>
      </w:r>
      <w:r>
        <w:rPr>
          <w:rStyle w:val="24"/>
        </w:rPr>
        <w:t>Gambar 2.3</w:t>
      </w:r>
      <w:r>
        <w:rPr>
          <w:rStyle w:val="24"/>
          <w:lang w:val="id-ID"/>
        </w:rPr>
        <w:t xml:space="preserve"> Target </w:t>
      </w:r>
      <w:r>
        <w:rPr>
          <w:rStyle w:val="24"/>
        </w:rPr>
        <w:t>d</w:t>
      </w:r>
      <w:r>
        <w:rPr>
          <w:rStyle w:val="24"/>
          <w:lang w:val="id-ID"/>
        </w:rPr>
        <w:t>an Skor Kinerja Keuangan Tahun 2009-2013</w:t>
      </w:r>
      <w:r>
        <w:tab/>
      </w:r>
      <w:r>
        <w:fldChar w:fldCharType="begin"/>
      </w:r>
      <w:r>
        <w:instrText xml:space="preserve"> PAGEREF _Toc430523211 \h </w:instrText>
      </w:r>
      <w:r>
        <w:fldChar w:fldCharType="separate"/>
      </w:r>
      <w:r>
        <w:t>31</w:t>
      </w:r>
      <w:r>
        <w:fldChar w:fldCharType="end"/>
      </w:r>
      <w:r>
        <w:fldChar w:fldCharType="end"/>
      </w:r>
    </w:p>
    <w:p>
      <w:pPr>
        <w:pStyle w:val="17"/>
        <w:tabs>
          <w:tab w:val="right" w:leader="dot" w:pos="13949"/>
        </w:tabs>
      </w:pPr>
      <w:r>
        <w:fldChar w:fldCharType="begin"/>
      </w:r>
      <w:r>
        <w:instrText xml:space="preserve"> HYPERLINK \l "_Toc430523212" </w:instrText>
      </w:r>
      <w:r>
        <w:fldChar w:fldCharType="separate"/>
      </w:r>
      <w:r>
        <w:rPr>
          <w:rStyle w:val="24"/>
        </w:rPr>
        <w:t xml:space="preserve">Gambar 2.4  </w:t>
      </w:r>
      <w:r>
        <w:rPr>
          <w:rStyle w:val="24"/>
          <w:rFonts w:eastAsia="Calibri"/>
        </w:rPr>
        <w:t>Nilai Rata-Rata Pengukuran Indeks Kepuasan Pelanggan</w:t>
      </w:r>
      <w:r>
        <w:tab/>
      </w:r>
      <w:r>
        <w:fldChar w:fldCharType="begin"/>
      </w:r>
      <w:r>
        <w:instrText xml:space="preserve"> PAGEREF _Toc430523212 \h </w:instrText>
      </w:r>
      <w:r>
        <w:fldChar w:fldCharType="separate"/>
      </w:r>
      <w:r>
        <w:t>36</w:t>
      </w:r>
      <w:r>
        <w:fldChar w:fldCharType="end"/>
      </w:r>
      <w:r>
        <w:fldChar w:fldCharType="end"/>
      </w:r>
      <w:r>
        <w:fldChar w:fldCharType="end"/>
      </w:r>
      <w:r>
        <w:fldChar w:fldCharType="begin"/>
      </w:r>
      <w:r>
        <w:instrText xml:space="preserve"> TOC \h \z \c "Gambar 4." </w:instrText>
      </w:r>
      <w:r>
        <w:fldChar w:fldCharType="separate"/>
      </w:r>
    </w:p>
    <w:p>
      <w:pPr>
        <w:pStyle w:val="17"/>
        <w:tabs>
          <w:tab w:val="right" w:leader="dot" w:pos="13949"/>
        </w:tabs>
        <w:rPr>
          <w:rFonts w:asciiTheme="minorHAnsi" w:hAnsiTheme="minorHAnsi" w:eastAsiaTheme="minorEastAsia" w:cstheme="minorBidi"/>
          <w:sz w:val="22"/>
          <w:lang w:val="id-ID" w:eastAsia="id-ID"/>
        </w:rPr>
      </w:pPr>
      <w:r>
        <w:fldChar w:fldCharType="begin"/>
      </w:r>
      <w:r>
        <w:instrText xml:space="preserve"> HYPERLINK \l "_Toc430523229" </w:instrText>
      </w:r>
      <w:r>
        <w:fldChar w:fldCharType="separate"/>
      </w:r>
      <w:r>
        <w:rPr>
          <w:rStyle w:val="24"/>
          <w:color w:val="auto"/>
        </w:rPr>
        <w:t>Gambar 4.1</w:t>
      </w:r>
      <w:r>
        <w:rPr>
          <w:rStyle w:val="24"/>
          <w:rFonts w:eastAsia="Calibri" w:cs="Arial"/>
          <w:color w:val="auto"/>
          <w:lang w:val="sv-SE"/>
        </w:rPr>
        <w:t xml:space="preserve">  Diagram Kartesian Pilihan Prioritas </w:t>
      </w:r>
      <w:r>
        <w:rPr>
          <w:rStyle w:val="24"/>
          <w:color w:val="auto"/>
        </w:rPr>
        <w:t>RSHS</w:t>
      </w:r>
      <w:r>
        <w:rPr>
          <w:rStyle w:val="24"/>
          <w:rFonts w:eastAsia="Calibri" w:cs="Arial"/>
          <w:color w:val="auto"/>
          <w:lang w:val="sv-SE"/>
        </w:rPr>
        <w:t>2015-2019</w:t>
      </w:r>
      <w:r>
        <w:tab/>
      </w:r>
      <w:r>
        <w:rPr>
          <w:lang w:val="id-ID"/>
        </w:rPr>
        <w:t>54</w:t>
      </w:r>
      <w:r>
        <w:rPr>
          <w:lang w:val="id-ID"/>
        </w:rPr>
        <w:fldChar w:fldCharType="end"/>
      </w:r>
    </w:p>
    <w:p>
      <w:pPr>
        <w:pStyle w:val="17"/>
        <w:tabs>
          <w:tab w:val="right" w:leader="dot" w:pos="13949"/>
        </w:tabs>
        <w:rPr>
          <w:rFonts w:asciiTheme="minorHAnsi" w:hAnsiTheme="minorHAnsi" w:eastAsiaTheme="minorEastAsia" w:cstheme="minorBidi"/>
          <w:color w:val="FF0000"/>
          <w:sz w:val="22"/>
          <w:lang w:val="id-ID" w:eastAsia="id-ID"/>
        </w:rPr>
      </w:pPr>
      <w:r>
        <w:fldChar w:fldCharType="begin"/>
      </w:r>
      <w:r>
        <w:instrText xml:space="preserve"> HYPERLINK \l "_Toc430523231" </w:instrText>
      </w:r>
      <w:r>
        <w:fldChar w:fldCharType="separate"/>
      </w:r>
      <w:r>
        <w:rPr>
          <w:rStyle w:val="24"/>
          <w:color w:val="auto"/>
        </w:rPr>
        <w:t>Gambar 4.3</w:t>
      </w:r>
      <w:r>
        <w:rPr>
          <w:rStyle w:val="24"/>
          <w:rFonts w:eastAsia="Calibri" w:cs="Arial"/>
          <w:color w:val="auto"/>
          <w:lang w:val="sv-SE"/>
        </w:rPr>
        <w:t xml:space="preserve">.  Peta Strategi </w:t>
      </w:r>
      <w:r>
        <w:rPr>
          <w:rStyle w:val="24"/>
          <w:color w:val="auto"/>
        </w:rPr>
        <w:t>RSHS</w:t>
      </w:r>
      <w:r>
        <w:rPr>
          <w:rStyle w:val="24"/>
          <w:color w:val="auto"/>
          <w:lang w:val="id-ID"/>
        </w:rPr>
        <w:t xml:space="preserve"> </w:t>
      </w:r>
      <w:r>
        <w:rPr>
          <w:rStyle w:val="24"/>
          <w:rFonts w:eastAsia="Calibri" w:cs="Arial"/>
          <w:color w:val="auto"/>
          <w:lang w:val="sv-SE"/>
        </w:rPr>
        <w:t>2015-2019</w:t>
      </w:r>
      <w:r>
        <w:tab/>
      </w:r>
      <w:r>
        <w:rPr>
          <w:lang w:val="id-ID"/>
        </w:rPr>
        <w:t>61</w:t>
      </w:r>
      <w:r>
        <w:rPr>
          <w:lang w:val="id-ID"/>
        </w:rPr>
        <w:fldChar w:fldCharType="end"/>
      </w:r>
    </w:p>
    <w:p>
      <w:pPr>
        <w:pStyle w:val="17"/>
        <w:tabs>
          <w:tab w:val="right" w:leader="dot" w:pos="13517"/>
        </w:tabs>
        <w:sectPr>
          <w:type w:val="continuous"/>
          <w:pgSz w:w="16839" w:h="11907" w:orient="landscape"/>
          <w:pgMar w:top="1440" w:right="1440" w:bottom="1440" w:left="1440" w:header="720" w:footer="174" w:gutter="0"/>
          <w:pgNumType w:fmt="lowerRoman" w:start="1"/>
          <w:cols w:space="720" w:num="1"/>
          <w:titlePg/>
          <w:docGrid w:linePitch="360" w:charSpace="0"/>
        </w:sectPr>
      </w:pPr>
      <w:r>
        <w:fldChar w:fldCharType="end"/>
      </w:r>
    </w:p>
    <w:p>
      <w:pPr>
        <w:pStyle w:val="2"/>
        <w:sectPr>
          <w:footerReference r:id="rId9" w:type="default"/>
          <w:type w:val="continuous"/>
          <w:pgSz w:w="16839" w:h="11907" w:orient="landscape"/>
          <w:pgMar w:top="1440" w:right="1440" w:bottom="1440" w:left="1440" w:header="720" w:footer="162" w:gutter="0"/>
          <w:pgNumType w:start="1"/>
          <w:cols w:space="720" w:num="1"/>
          <w:docGrid w:linePitch="360" w:charSpace="0"/>
        </w:sectPr>
      </w:pPr>
      <w:r>
        <w:t>I. PENDAHULUAN</w:t>
      </w:r>
      <w:bookmarkEnd w:id="2"/>
    </w:p>
    <w:p>
      <w:pPr>
        <w:pStyle w:val="3"/>
      </w:pPr>
      <w:bookmarkStart w:id="5" w:name="_Toc431267219"/>
      <w:r>
        <w:t>1.1 Latar Belakang</w:t>
      </w:r>
      <w:bookmarkEnd w:id="5"/>
    </w:p>
    <w:p>
      <w:pPr>
        <w:spacing w:line="360" w:lineRule="auto"/>
        <w:ind w:firstLine="709"/>
        <w:jc w:val="both"/>
        <w:rPr>
          <w:rFonts w:cs="Calibri"/>
        </w:rPr>
      </w:pPr>
      <w:r>
        <w:t xml:space="preserve">Tujuan utama dokumen Rencana Strategis Kementerian Kesehatan periode tahun 2015-2019 adalah untuk menyediakan akses dan mutu pelayanan kesehatan yang semakin berkualitas bagi masyarakat di akhir tahun 2019. Namun demikian, untuk mencapai tujuan utama tersebut berbagai tantangan strategis yang menjadi batu sandungan akan mengemuka, antara lain: </w:t>
      </w:r>
      <w:r>
        <w:rPr>
          <w:rFonts w:cs="Calibri"/>
        </w:rPr>
        <w:t xml:space="preserve">kebutuhan </w:t>
      </w:r>
      <w:r>
        <w:rPr>
          <w:rFonts w:cs="Calibri"/>
          <w:lang w:val="id-ID"/>
        </w:rPr>
        <w:t>penguatan pelayanan kesehatan primer</w:t>
      </w:r>
      <w:r>
        <w:rPr>
          <w:rFonts w:cs="Calibri"/>
        </w:rPr>
        <w:t xml:space="preserve">; berfungsinya </w:t>
      </w:r>
      <w:r>
        <w:rPr>
          <w:rFonts w:cs="Calibri"/>
          <w:lang w:val="id-ID"/>
        </w:rPr>
        <w:t xml:space="preserve">sistem regionalisasi rujukan di seluruh </w:t>
      </w:r>
      <w:r>
        <w:rPr>
          <w:rFonts w:cs="Calibri"/>
        </w:rPr>
        <w:t>p</w:t>
      </w:r>
      <w:r>
        <w:rPr>
          <w:rFonts w:cs="Calibri"/>
          <w:lang w:val="id-ID"/>
        </w:rPr>
        <w:t>rovinsi</w:t>
      </w:r>
      <w:r>
        <w:rPr>
          <w:rFonts w:cs="Calibri"/>
        </w:rPr>
        <w:t xml:space="preserve">; berfungsinya penetapan dan pembangunan sistem rujukan nasional;  belum meratanya jumlah, jenis dan kompetensi SDM Kesehatan; kapasitas dan kemampuan manajemen puskesmas dan RS yang belum merata di berbagai Kabupaten/Kota/Provinsi, dan belum terlaksananya sistem manajemen kinerja yang terintegrasi; belum tersedianya secara merata di seluruh Indonesia sarana prasarana dan alat kesehatan pada PPK I yang sesuai standard; belum terintegrasinya data dan sistem </w:t>
      </w:r>
      <w:r>
        <w:rPr>
          <w:rFonts w:cs="Calibri"/>
          <w:lang w:val="id-ID"/>
        </w:rPr>
        <w:t>i</w:t>
      </w:r>
      <w:r>
        <w:rPr>
          <w:rFonts w:cs="Calibri"/>
        </w:rPr>
        <w:t xml:space="preserve">nformasi di Pusat, daerah, rumah sakit dan puskesmas; dan Kebijakan pemerintah daerah yang belum tersinkronisasi dengan kebijakan pemerintah pusat. </w:t>
      </w:r>
      <w:r>
        <w:t>Tantangan-tantangan strategis nasional yang demikian beragam tersebut membutuhkan paradigma dan pendekatan yang berbeda dan unik di tahun-tahun mendatang bagi setiap institusi kesehatan di Republik Indonesia.</w:t>
      </w:r>
    </w:p>
    <w:p>
      <w:pPr>
        <w:spacing w:line="360" w:lineRule="auto"/>
        <w:ind w:firstLine="709"/>
        <w:jc w:val="both"/>
        <w:rPr>
          <w:rFonts w:cs="Calibri"/>
        </w:rPr>
      </w:pPr>
      <w:r>
        <w:t>Di tengah tantangan strategis nasional di sektor kesehatan di atas, Rumah Sakit Hasan Sadikin (RSHS)</w:t>
      </w:r>
      <w:r>
        <w:rPr>
          <w:lang w:val="id-ID"/>
        </w:rPr>
        <w:t xml:space="preserve">, </w:t>
      </w:r>
      <w:r>
        <w:t>sebagai bagian dari institusi Pemerintah yang terlibat dalam pembangunan kesehatan sangat berkepentingan untuk menopang keberhasilan target-target kinerja di sektor kesehatan masyarakat, khususnya di wilayah Jawa Barat. Terlebih lagi, RSHS tengah ber</w:t>
      </w:r>
      <w:r>
        <w:rPr>
          <w:lang w:val="id-ID"/>
        </w:rPr>
        <w:t>upaya</w:t>
      </w:r>
      <w:r>
        <w:t xml:space="preserve"> untuk membangun fondasi kesehatan dalam memperbaiki kualitas kesehatan masyarakat Jawa Barat jangka panjang melalui konsep AHC (</w:t>
      </w:r>
      <w:r>
        <w:rPr>
          <w:i/>
        </w:rPr>
        <w:t>Academic Health Center</w:t>
      </w:r>
      <w:r>
        <w:t xml:space="preserve">), yakni upaya terintegrasi untuk memadukan layanan kesehatan berbasis riset medis modern dalam merespon dinamika tantangan strategis nasional di sektor kesehatan. Adanya AHC ini diharapkan upaya promosi, preventif dan kuratif layanan kesehatan di Jawa Barat berjalan secara efektif dan efisien dan sekaligus menopang pencapaian target-target kinerja kesehatan di tingkat Jawa Barat dan nasional. </w:t>
      </w:r>
    </w:p>
    <w:p>
      <w:pPr>
        <w:spacing w:line="360" w:lineRule="auto"/>
        <w:ind w:firstLine="709"/>
        <w:jc w:val="both"/>
      </w:pPr>
      <w:r>
        <w:t>Tantangan strategis kesehatan di masa mendatang sebagaimana digambarkan di atas membutuhkan arah dan prioritas strategis yang perlu dijawab dengan paradigma dan pendekatan baru bagi RSHS</w:t>
      </w:r>
      <w:r>
        <w:rPr>
          <w:lang w:val="id-ID"/>
        </w:rPr>
        <w:t xml:space="preserve">, </w:t>
      </w:r>
      <w:r>
        <w:t xml:space="preserve">dalam merespon tuntutan </w:t>
      </w:r>
      <w:r>
        <w:rPr>
          <w:i/>
        </w:rPr>
        <w:t>stakeholders</w:t>
      </w:r>
      <w:r>
        <w:t xml:space="preserve"> utama sektor kesehatan di Jawa Barat untuk periode tahun 2015-2019. Rencana strategi bisnis (RSB) yang dituangkan dalam buku ini menggambarkan arah dan prioritas strategis tersebut untuk periode tahun 2015-2019. RSB, sebagai wujud rencana strategis (renstra), akan memuat informasi apa saja tujuan utama yang disasar dalam periode tahun 2015-2019 untuk misi layanan, pendidikan, dan riset kedokteran dan cara mencapainya secara inovatif demi berkontribusi untuk mencapai target-target kinerja kesehatan masyarakat di tingkat Jawa Barat dan Nasional secara berkelanjutan.</w:t>
      </w:r>
    </w:p>
    <w:p>
      <w:pPr>
        <w:spacing w:line="360" w:lineRule="auto"/>
        <w:ind w:firstLine="709"/>
        <w:jc w:val="both"/>
      </w:pPr>
      <w:r>
        <w:t>Rencana Strategis Bisnis ini menjadi demikian diperlukan, karena disamping untuk mampu menjawab tantangan strategis kesehatan masyarakat Jawa Barat dan Nasional</w:t>
      </w:r>
      <w:r>
        <w:rPr>
          <w:lang w:val="id-ID"/>
        </w:rPr>
        <w:t>,</w:t>
      </w:r>
      <w:r>
        <w:t xml:space="preserve"> RSB ini menjadi kompas untuk periode tahun 2015-2019 bagi pengambil keputusan dan pelaksana di RSHS, saat berinteraksi untuk menuntaskan aneka tantangan strategis dari </w:t>
      </w:r>
      <w:r>
        <w:rPr>
          <w:i/>
        </w:rPr>
        <w:t>stakeholders</w:t>
      </w:r>
      <w:r>
        <w:t xml:space="preserve"> utamanya yang diperkirakan di masa mendatang akan cukup dinamis, berat, dan kompleks.  Terlebih lagi, sumber daya yang digunakan oleh RSHS, untuk mengatasi dan menjawab aneka tantangan strategis tersebut tidak melimpah dan cenderung mengalami penurunan daya saing jika tidak diperbaiki. Oleh karena itu, RSHS, perlu merumuskan dan memilih arah dan prioritas strategis yang betul-betul berkontribusi memberikan nilai tambah (</w:t>
      </w:r>
      <w:r>
        <w:rPr>
          <w:i/>
        </w:rPr>
        <w:t>creating value</w:t>
      </w:r>
      <w:r>
        <w:t xml:space="preserve">) yang cukup besar dan berkelanjutan bagi pembangunan kesehatan masyarakat dan </w:t>
      </w:r>
      <w:r>
        <w:rPr>
          <w:i/>
        </w:rPr>
        <w:t>stakeholders</w:t>
      </w:r>
      <w:r>
        <w:t xml:space="preserve"> utamanya di tahun-tahun mendatang, di tengah keterbatasan dan penurunan daya saing sumber daya organisasi.</w:t>
      </w:r>
    </w:p>
    <w:p>
      <w:pPr>
        <w:spacing w:line="360" w:lineRule="auto"/>
        <w:ind w:firstLine="709"/>
        <w:jc w:val="both"/>
        <w:rPr>
          <w:lang w:val="id-ID"/>
        </w:rPr>
      </w:pPr>
      <w:r>
        <w:t xml:space="preserve">Selain itu, dalam konteks pengembangan konsep </w:t>
      </w:r>
      <w:r>
        <w:rPr>
          <w:i/>
        </w:rPr>
        <w:t>A</w:t>
      </w:r>
      <w:r>
        <w:rPr>
          <w:i/>
          <w:lang w:val="id-ID"/>
        </w:rPr>
        <w:t xml:space="preserve">cademic </w:t>
      </w:r>
      <w:r>
        <w:rPr>
          <w:i/>
        </w:rPr>
        <w:t>H</w:t>
      </w:r>
      <w:r>
        <w:rPr>
          <w:i/>
          <w:lang w:val="id-ID"/>
        </w:rPr>
        <w:t xml:space="preserve">ealth </w:t>
      </w:r>
      <w:r>
        <w:rPr>
          <w:i/>
        </w:rPr>
        <w:t>C</w:t>
      </w:r>
      <w:r>
        <w:rPr>
          <w:i/>
          <w:lang w:val="id-ID"/>
        </w:rPr>
        <w:t>enter</w:t>
      </w:r>
      <w:r>
        <w:t xml:space="preserve">, RSHS sebagai Rumah Sakit Pendidikan perlu merumuskan dan mengembangkan arah dan prioritas strategis dalam menjalankan misi layanan, pendidikan dan riset untuk periode tahun 2015-2019. Hal ini didasarkan oleh fakta bahwa RSHS selama ini telah berfungsi bukan hanya melakukan berbagai misi layanan medis, namun juga ikut berperan dalam menjalankan misi pendidikan dan riset. Mempertimbangkan tantangan yang berkembang di masa depan maka hasil review renstra tahun 2016 merupakan payung dalam pengelolaan dan pengembangan misi layanan, pendidikan, dan riset di bidang medik dan kesehatan untuk periode lima tahun ke depan. RSB ini-pun akan menjadi dasar sebagai sumber keputusan utama dalam mengalokasikan dan mengendalikan sumber daya organisasi yang terbatas yang dimiliki oleh RSHS. Dengan demikian, dokumen RSB ini diharapkan menjadi rujukan dalam pengambilan keputusan dan tindakan penting bagi jajaran manajemen puncak RSHS untuk kemajuan di masa mendatang dengan mempertimbangkan dinamika perubahan tuntutan inti </w:t>
      </w:r>
      <w:r>
        <w:rPr>
          <w:i/>
        </w:rPr>
        <w:t>stakeholders</w:t>
      </w:r>
      <w:r>
        <w:t xml:space="preserve"> utamanya.</w:t>
      </w:r>
      <w:r>
        <w:rPr>
          <w:lang w:val="id-ID"/>
        </w:rPr>
        <w:t xml:space="preserve"> </w:t>
      </w:r>
    </w:p>
    <w:p>
      <w:pPr>
        <w:spacing w:line="360" w:lineRule="auto"/>
        <w:ind w:firstLine="709"/>
        <w:jc w:val="both"/>
        <w:rPr>
          <w:bCs/>
          <w:iCs/>
          <w:lang w:val="id-ID"/>
        </w:rPr>
      </w:pPr>
      <w:r>
        <w:rPr>
          <w:lang w:val="id-ID"/>
        </w:rPr>
        <w:t xml:space="preserve">Reviu RSB RSHS Tahun 2015 – 2019 merupakan kajian implementasi dari Rencana Strategis Bisnis (RSB) Bersama RSHS – PMN RSMC – FKUP Tahun 2015 – 2019.  Dalam RSB Bersama RSHS – PMN RSMC – FKUP Tahun 2015 – 2019 telah melakukan kesepakatan mengenai rumusan visi </w:t>
      </w:r>
      <w:r>
        <w:rPr>
          <w:bCs/>
          <w:iCs/>
          <w:lang w:val="id-ID"/>
        </w:rPr>
        <w:t>dan misi bersama yaitu :</w:t>
      </w:r>
    </w:p>
    <w:p>
      <w:pPr>
        <w:spacing w:line="360" w:lineRule="auto"/>
        <w:jc w:val="both"/>
        <w:rPr>
          <w:bCs/>
          <w:i/>
          <w:iCs/>
          <w:lang w:val="id-ID"/>
        </w:rPr>
      </w:pPr>
      <w:r>
        <w:rPr>
          <w:bCs/>
          <w:iCs/>
          <w:lang w:val="id-ID"/>
        </w:rPr>
        <w:t xml:space="preserve">Rumusan Visi </w:t>
      </w:r>
      <w:r>
        <w:t xml:space="preserve">2015-2019 </w:t>
      </w:r>
      <w:r>
        <w:rPr>
          <w:szCs w:val="24"/>
        </w:rPr>
        <w:t>RSHS-PMN RSMC-FKUP</w:t>
      </w:r>
      <w:r>
        <w:t>adalah:</w:t>
      </w:r>
    </w:p>
    <w:p>
      <w:pPr>
        <w:shd w:val="clear" w:color="auto" w:fill="EAF1DD"/>
        <w:spacing w:after="0" w:line="360" w:lineRule="auto"/>
        <w:ind w:right="24"/>
        <w:jc w:val="center"/>
        <w:rPr>
          <w:bCs/>
          <w:i/>
          <w:iCs/>
        </w:rPr>
      </w:pPr>
      <w:r>
        <w:rPr>
          <w:bCs/>
          <w:i/>
          <w:iCs/>
        </w:rPr>
        <w:t>Menjadi Institusi Kesehatan yang unggul dan transformatif dalam meningkatkan status kesehatan masyarakat</w:t>
      </w:r>
    </w:p>
    <w:p>
      <w:pPr>
        <w:shd w:val="clear" w:color="auto" w:fill="EBCC6E"/>
        <w:spacing w:after="0" w:line="360" w:lineRule="auto"/>
        <w:ind w:right="24"/>
        <w:jc w:val="center"/>
      </w:pPr>
      <w:r>
        <w:rPr>
          <w:i/>
          <w:iCs/>
        </w:rPr>
        <w:t>“Transformative leader in health care”</w:t>
      </w:r>
    </w:p>
    <w:p>
      <w:pPr>
        <w:spacing w:after="0" w:line="360" w:lineRule="auto"/>
        <w:jc w:val="both"/>
      </w:pPr>
    </w:p>
    <w:p>
      <w:r>
        <w:t>Rumusan Misi</w:t>
      </w:r>
      <w:r>
        <w:rPr>
          <w:b/>
        </w:rPr>
        <w:t xml:space="preserve"> </w:t>
      </w:r>
      <w:r>
        <w:t xml:space="preserve">2015-2019 </w:t>
      </w:r>
      <w:r>
        <w:rPr>
          <w:szCs w:val="24"/>
        </w:rPr>
        <w:t>RSHS-PMN RSMC-FKUP</w:t>
      </w:r>
      <w:r>
        <w:t>adalah:</w:t>
      </w:r>
    </w:p>
    <w:p>
      <w:pPr>
        <w:pStyle w:val="28"/>
        <w:widowControl w:val="0"/>
        <w:numPr>
          <w:ilvl w:val="0"/>
          <w:numId w:val="1"/>
        </w:numPr>
        <w:autoSpaceDE w:val="0"/>
        <w:autoSpaceDN w:val="0"/>
        <w:adjustRightInd w:val="0"/>
        <w:spacing w:after="256" w:line="360" w:lineRule="auto"/>
        <w:jc w:val="both"/>
        <w:rPr>
          <w:rFonts w:cs="Arial"/>
          <w:bCs/>
          <w:szCs w:val="24"/>
          <w:lang w:val="fr-FR"/>
        </w:rPr>
      </w:pPr>
      <w:r>
        <w:rPr>
          <w:rFonts w:cs="Arial"/>
          <w:bCs/>
          <w:szCs w:val="24"/>
          <w:lang w:val="fr-FR"/>
        </w:rPr>
        <w:t xml:space="preserve">Menyelenggarakan pelayanan kesehatan paripurna dan prima, yang terintegrasi dengan pendidikan dan penelitian </w:t>
      </w:r>
    </w:p>
    <w:p>
      <w:pPr>
        <w:pStyle w:val="28"/>
        <w:widowControl w:val="0"/>
        <w:numPr>
          <w:ilvl w:val="0"/>
          <w:numId w:val="1"/>
        </w:numPr>
        <w:autoSpaceDE w:val="0"/>
        <w:autoSpaceDN w:val="0"/>
        <w:adjustRightInd w:val="0"/>
        <w:spacing w:after="256" w:line="360" w:lineRule="auto"/>
        <w:jc w:val="both"/>
        <w:rPr>
          <w:rFonts w:cs="Arial"/>
          <w:bCs/>
          <w:szCs w:val="24"/>
          <w:lang w:val="fr-FR"/>
        </w:rPr>
      </w:pPr>
      <w:r>
        <w:rPr>
          <w:rFonts w:cs="Arial"/>
          <w:bCs/>
          <w:szCs w:val="24"/>
          <w:lang w:val="fr-FR"/>
        </w:rPr>
        <w:t>Menyelenggarakan sistem rujukan pelayanan kesehatan berjenjang yang bermutu</w:t>
      </w:r>
    </w:p>
    <w:p>
      <w:pPr>
        <w:pStyle w:val="28"/>
        <w:widowControl w:val="0"/>
        <w:numPr>
          <w:ilvl w:val="0"/>
          <w:numId w:val="1"/>
        </w:numPr>
        <w:autoSpaceDE w:val="0"/>
        <w:autoSpaceDN w:val="0"/>
        <w:adjustRightInd w:val="0"/>
        <w:spacing w:after="256" w:line="360" w:lineRule="auto"/>
        <w:jc w:val="both"/>
      </w:pPr>
      <w:r>
        <w:rPr>
          <w:rFonts w:cs="Arial"/>
          <w:bCs/>
          <w:szCs w:val="24"/>
          <w:lang w:val="fr-FR"/>
        </w:rPr>
        <w:t>Melakukan transformasi dalam mewujudkan status kesehatan masyarakat yang lebih baik</w:t>
      </w:r>
    </w:p>
    <w:p>
      <w:pPr>
        <w:spacing w:line="360" w:lineRule="auto"/>
        <w:ind w:firstLine="709"/>
        <w:jc w:val="both"/>
        <w:rPr>
          <w:lang w:val="id-ID"/>
        </w:rPr>
      </w:pPr>
      <w:r>
        <w:rPr>
          <w:lang w:val="id-ID"/>
        </w:rPr>
        <w:t>Implementasi RSB Bersama dalam bentuk program dan kegiatan mengacu kepada sasaran strategis RSB Bersama RSHS – PMN RSMC – FKUP Tahun 2015 – 2019 yang menghasilkan 29 KPI, masing-masing institusi mempunyai KPI sesuai dengan domain dan tupoksinya masing-masing. RSHS dalam hal ini sesuai dengan program dan kegiatannya memiliki 19 KPI sebagai bagian dari 29 KPI dan lebih dipertajam lagi indikator-indikatornya. Dengan demikian, institusi membiayai sendiri program dan kegiatannya sesuai dengan KPI masing-masing.</w:t>
      </w:r>
    </w:p>
    <w:p>
      <w:pPr>
        <w:pStyle w:val="3"/>
      </w:pPr>
      <w:bookmarkStart w:id="6" w:name="_Toc431267220"/>
      <w:r>
        <w:t>I.2 Tujuan</w:t>
      </w:r>
      <w:bookmarkEnd w:id="6"/>
    </w:p>
    <w:p>
      <w:pPr>
        <w:spacing w:line="360" w:lineRule="auto"/>
        <w:ind w:firstLine="709"/>
        <w:jc w:val="both"/>
      </w:pPr>
      <w:r>
        <w:t>RSB RSHS</w:t>
      </w:r>
      <w:r>
        <w:rPr>
          <w:color w:val="FF0000"/>
        </w:rPr>
        <w:t xml:space="preserve"> </w:t>
      </w:r>
      <w:r>
        <w:t xml:space="preserve">periode tahun 2015-2019 bertujuan utama untuk memberikan arah dan prioritas strategis pengembangan misi layanan, pendidikan, dan penelitian dengan memerhatikan dinamika tuntutan </w:t>
      </w:r>
      <w:r>
        <w:rPr>
          <w:i/>
        </w:rPr>
        <w:t>stakeholders</w:t>
      </w:r>
      <w:r>
        <w:t xml:space="preserve"> utamanya. Secara spesifik, isi buku RSB ini akan menghasilkan informasi yang berkaitan dengan :</w:t>
      </w:r>
    </w:p>
    <w:p>
      <w:pPr>
        <w:pStyle w:val="28"/>
        <w:numPr>
          <w:ilvl w:val="0"/>
          <w:numId w:val="2"/>
        </w:numPr>
        <w:spacing w:line="360" w:lineRule="auto"/>
        <w:ind w:left="360"/>
        <w:jc w:val="both"/>
      </w:pPr>
      <w:r>
        <w:t>Gambaran evaluasi kinerja RSHS, di periode yang lalu dalam mengemban misi layanan, pendidikan, dan penelitian</w:t>
      </w:r>
    </w:p>
    <w:p>
      <w:pPr>
        <w:pStyle w:val="28"/>
        <w:numPr>
          <w:ilvl w:val="0"/>
          <w:numId w:val="2"/>
        </w:numPr>
        <w:spacing w:line="360" w:lineRule="auto"/>
        <w:ind w:left="360"/>
        <w:jc w:val="both"/>
      </w:pPr>
      <w:r>
        <w:t xml:space="preserve">Tuntutan </w:t>
      </w:r>
      <w:r>
        <w:rPr>
          <w:i/>
        </w:rPr>
        <w:t>stakeholders</w:t>
      </w:r>
      <w:r>
        <w:t xml:space="preserve"> utama RSHS, (antara lain masyarakat luas pengguna jasa layanan kesehatan, mahasiswa, Pemerintah Kabupaten &amp; Kota, Kementrian Kesehatan, dsb) yang menggambarkan tantangan strategis yang akan dihadapi oleh RSHS, dalam periode tahun 2015-2019.</w:t>
      </w:r>
    </w:p>
    <w:p>
      <w:pPr>
        <w:pStyle w:val="28"/>
        <w:numPr>
          <w:ilvl w:val="0"/>
          <w:numId w:val="2"/>
        </w:numPr>
        <w:spacing w:line="360" w:lineRule="auto"/>
        <w:ind w:left="360"/>
        <w:jc w:val="both"/>
      </w:pPr>
      <w:r>
        <w:t>Review pernyataan rumusan visi, misi, dan tata nilai yang diperlukan untuk menghadapi dan menjawab tantangan strategis RSHS, dalam periode tahun 2015-2019.</w:t>
      </w:r>
    </w:p>
    <w:p>
      <w:pPr>
        <w:pStyle w:val="28"/>
        <w:numPr>
          <w:ilvl w:val="0"/>
          <w:numId w:val="2"/>
        </w:numPr>
        <w:spacing w:line="360" w:lineRule="auto"/>
        <w:ind w:left="360"/>
        <w:jc w:val="both"/>
      </w:pPr>
      <w:r>
        <w:rPr>
          <w:i/>
        </w:rPr>
        <w:t xml:space="preserve">Benchmarking </w:t>
      </w:r>
      <w:r>
        <w:t>(patok duga), yang menggambarkan rujukan kemajuan bagi RSHS, untuk dicapai dalam mengemban misi layanan, pendidikan, dan riset.</w:t>
      </w:r>
    </w:p>
    <w:p>
      <w:pPr>
        <w:pStyle w:val="28"/>
        <w:numPr>
          <w:ilvl w:val="0"/>
          <w:numId w:val="2"/>
        </w:numPr>
        <w:spacing w:line="360" w:lineRule="auto"/>
        <w:ind w:left="360"/>
        <w:jc w:val="both"/>
      </w:pPr>
      <w:r>
        <w:t>Analisa SWOT (</w:t>
      </w:r>
      <w:r>
        <w:rPr>
          <w:i/>
        </w:rPr>
        <w:t>Strength, Weakness, Opportunities</w:t>
      </w:r>
      <w:r>
        <w:t xml:space="preserve">, dan </w:t>
      </w:r>
      <w:r>
        <w:rPr>
          <w:i/>
        </w:rPr>
        <w:t>Threats</w:t>
      </w:r>
      <w:r>
        <w:t>) dan posisi bersaing.</w:t>
      </w:r>
    </w:p>
    <w:p>
      <w:pPr>
        <w:pStyle w:val="28"/>
        <w:numPr>
          <w:ilvl w:val="0"/>
          <w:numId w:val="2"/>
        </w:numPr>
        <w:spacing w:line="360" w:lineRule="auto"/>
        <w:ind w:left="360"/>
        <w:jc w:val="both"/>
      </w:pPr>
      <w:r>
        <w:t>Peta strategi, yang menggambarkan jalinan sebab akibat sasaran strategis RSHS, yang seharusnya dilakukan dalam merespon tantangan strategisnya untuk periode lima tahun ke depan.</w:t>
      </w:r>
    </w:p>
    <w:p>
      <w:pPr>
        <w:pStyle w:val="28"/>
        <w:numPr>
          <w:ilvl w:val="0"/>
          <w:numId w:val="2"/>
        </w:numPr>
        <w:spacing w:line="360" w:lineRule="auto"/>
        <w:ind w:left="360"/>
        <w:jc w:val="both"/>
      </w:pPr>
      <w:r>
        <w:t>Target-target kinerja yang menggambarkan ukuran keberhasilan pencapaian sasaran strategis dituangkan dalam target indikator kinerja kunci (KPI-</w:t>
      </w:r>
      <w:r>
        <w:rPr>
          <w:i/>
        </w:rPr>
        <w:t>Key Performance Indicator</w:t>
      </w:r>
      <w:r>
        <w:t>) untuk periode tahun 2015-2019</w:t>
      </w:r>
    </w:p>
    <w:p>
      <w:pPr>
        <w:pStyle w:val="28"/>
        <w:numPr>
          <w:ilvl w:val="0"/>
          <w:numId w:val="2"/>
        </w:numPr>
        <w:spacing w:line="360" w:lineRule="auto"/>
        <w:ind w:left="360"/>
        <w:jc w:val="both"/>
      </w:pPr>
      <w:r>
        <w:t>Program kerja strategis yang diperlukan untuk diwujudkan  dalam mencapai target KPI dalam periode tahun 2015-2019</w:t>
      </w:r>
    </w:p>
    <w:p>
      <w:pPr>
        <w:pStyle w:val="28"/>
        <w:numPr>
          <w:ilvl w:val="0"/>
          <w:numId w:val="2"/>
        </w:numPr>
        <w:spacing w:after="360" w:line="360" w:lineRule="auto"/>
        <w:ind w:left="360"/>
        <w:jc w:val="both"/>
      </w:pPr>
      <w:r>
        <w:t>Analisa dan mitigasi risiko yang diperlukan untuk mengatasi aneka risiko yang diperkirakan muncul dan bersumber dari faktor eksternal RSHS.</w:t>
      </w:r>
    </w:p>
    <w:p>
      <w:pPr>
        <w:keepNext/>
        <w:keepLines/>
        <w:spacing w:line="360" w:lineRule="auto"/>
        <w:jc w:val="both"/>
        <w:outlineLvl w:val="2"/>
        <w:rPr>
          <w:rFonts w:cs="Arial"/>
          <w:b/>
          <w:bCs/>
        </w:rPr>
      </w:pPr>
      <w:r>
        <w:rPr>
          <w:rFonts w:ascii="Arial" w:hAnsi="Arial" w:cs="Arial"/>
          <w:b/>
          <w:bCs/>
          <w:lang w:val="id-ID"/>
        </w:rPr>
        <w:t xml:space="preserve">1.3 </w:t>
      </w:r>
      <w:r>
        <w:rPr>
          <w:rFonts w:cs="Arial"/>
          <w:b/>
          <w:bCs/>
        </w:rPr>
        <w:t>Dasar Hukum</w:t>
      </w:r>
    </w:p>
    <w:p>
      <w:pPr>
        <w:spacing w:line="360" w:lineRule="auto"/>
        <w:ind w:firstLine="709"/>
        <w:jc w:val="both"/>
        <w:rPr>
          <w:rFonts w:cs="Arial"/>
          <w:color w:val="000000"/>
        </w:rPr>
      </w:pPr>
      <w:r>
        <w:rPr>
          <w:rFonts w:cs="Arial"/>
          <w:color w:val="FF0000"/>
          <w:lang w:val="id-ID"/>
        </w:rPr>
        <w:t xml:space="preserve"> </w:t>
      </w:r>
      <w:r>
        <w:rPr>
          <w:rFonts w:cs="Arial"/>
          <w:color w:val="000000"/>
          <w:lang w:val="id-ID"/>
        </w:rPr>
        <w:t>R</w:t>
      </w:r>
      <w:r>
        <w:rPr>
          <w:rFonts w:cs="Arial"/>
          <w:color w:val="000000"/>
        </w:rPr>
        <w:t xml:space="preserve">egulasi/peraturan yang menjadi acuan dalam penyusunan RSB </w:t>
      </w:r>
      <w:r>
        <w:rPr>
          <w:rFonts w:cs="Arial"/>
          <w:color w:val="000000"/>
          <w:lang w:val="id-ID"/>
        </w:rPr>
        <w:t xml:space="preserve">RSHS </w:t>
      </w:r>
      <w:r>
        <w:rPr>
          <w:rFonts w:cs="Arial"/>
          <w:color w:val="000000"/>
        </w:rPr>
        <w:t>adalah :</w:t>
      </w:r>
    </w:p>
    <w:p>
      <w:pPr>
        <w:numPr>
          <w:ilvl w:val="0"/>
          <w:numId w:val="3"/>
        </w:numPr>
        <w:spacing w:after="0" w:line="360" w:lineRule="auto"/>
        <w:ind w:left="284"/>
        <w:jc w:val="both"/>
        <w:rPr>
          <w:rFonts w:cs="Arial"/>
          <w:color w:val="000000"/>
          <w:lang w:val="es-ES"/>
        </w:rPr>
      </w:pPr>
      <w:r>
        <w:rPr>
          <w:rFonts w:cs="Arial"/>
          <w:color w:val="000000"/>
          <w:lang w:val="es-ES"/>
        </w:rPr>
        <w:t xml:space="preserve">TAP MPR Nomor XI Tahun 1998 tentang Penyelenggaraan Negara yang Bersih dan Bebas dari KKN ; </w:t>
      </w:r>
    </w:p>
    <w:p>
      <w:pPr>
        <w:numPr>
          <w:ilvl w:val="0"/>
          <w:numId w:val="3"/>
        </w:numPr>
        <w:spacing w:after="0" w:line="360" w:lineRule="auto"/>
        <w:ind w:left="284"/>
        <w:jc w:val="both"/>
        <w:rPr>
          <w:rFonts w:cs="Arial"/>
          <w:color w:val="000000"/>
          <w:lang w:val="es-ES"/>
        </w:rPr>
      </w:pPr>
      <w:r>
        <w:rPr>
          <w:rFonts w:cs="Arial"/>
          <w:color w:val="000000"/>
          <w:lang w:val="es-ES"/>
        </w:rPr>
        <w:t>Undang - Undang Nomor 28 Tahun 1999 tentang Penyelenggaraan Negara yang Bersih dan Bebas dari Korupsi, Kolusi dan Nepotisme (KKN)</w:t>
      </w:r>
    </w:p>
    <w:p>
      <w:pPr>
        <w:numPr>
          <w:ilvl w:val="0"/>
          <w:numId w:val="3"/>
        </w:numPr>
        <w:spacing w:after="0" w:line="360" w:lineRule="auto"/>
        <w:ind w:left="284"/>
        <w:jc w:val="both"/>
        <w:rPr>
          <w:rFonts w:cs="Arial"/>
          <w:color w:val="000000"/>
          <w:lang w:val="es-ES"/>
        </w:rPr>
      </w:pPr>
      <w:r>
        <w:rPr>
          <w:rFonts w:cs="Arial"/>
          <w:color w:val="000000"/>
          <w:lang w:val="es-ES"/>
        </w:rPr>
        <w:t>Undang - Undang Nomor 17 tahun 2007 tentang RPJMN 2005-2025</w:t>
      </w:r>
    </w:p>
    <w:p>
      <w:pPr>
        <w:numPr>
          <w:ilvl w:val="0"/>
          <w:numId w:val="3"/>
        </w:numPr>
        <w:spacing w:after="0" w:line="360" w:lineRule="auto"/>
        <w:ind w:left="284"/>
        <w:jc w:val="both"/>
        <w:rPr>
          <w:rFonts w:cs="Arial"/>
          <w:color w:val="000000"/>
          <w:lang w:val="es-ES"/>
        </w:rPr>
      </w:pPr>
      <w:r>
        <w:rPr>
          <w:rFonts w:cs="Arial"/>
          <w:color w:val="000000"/>
          <w:lang w:val="es-ES"/>
        </w:rPr>
        <w:t>Peraturan Pemerintah Nomor 39 tahun 2006 tentang Tata Cara Pengendalian  dan Evaluasi Pelaksanaan Rencana Pembangunan</w:t>
      </w:r>
    </w:p>
    <w:p>
      <w:pPr>
        <w:numPr>
          <w:ilvl w:val="0"/>
          <w:numId w:val="3"/>
        </w:numPr>
        <w:spacing w:after="0" w:line="360" w:lineRule="auto"/>
        <w:ind w:left="284"/>
        <w:jc w:val="both"/>
        <w:rPr>
          <w:rFonts w:cs="Arial"/>
          <w:color w:val="000000"/>
          <w:lang w:val="es-ES"/>
        </w:rPr>
      </w:pPr>
      <w:r>
        <w:rPr>
          <w:rFonts w:cs="Arial"/>
          <w:color w:val="000000"/>
          <w:lang w:val="es-ES"/>
        </w:rPr>
        <w:t>Peraturan Presiden Nomor 9 Tahun 2005 tentang Kedudukan, Tugas, Fungsi, Kewenangan, Susunan Organisasi, dan Tata Kerja Kementerian Negara Republik Indonesia</w:t>
      </w:r>
    </w:p>
    <w:p>
      <w:pPr>
        <w:numPr>
          <w:ilvl w:val="0"/>
          <w:numId w:val="3"/>
        </w:numPr>
        <w:spacing w:after="0" w:line="360" w:lineRule="auto"/>
        <w:ind w:left="284"/>
        <w:jc w:val="both"/>
        <w:rPr>
          <w:rFonts w:cs="Arial"/>
          <w:color w:val="000000"/>
          <w:lang w:val="es-ES"/>
        </w:rPr>
      </w:pPr>
      <w:r>
        <w:rPr>
          <w:rFonts w:cs="Arial"/>
          <w:color w:val="000000"/>
          <w:lang w:val="es-ES"/>
        </w:rPr>
        <w:t>Peraturan Presiden Nomor  47 Tahun 2009 tentang Pembentukan dan Organisasi Kementerian Negara</w:t>
      </w:r>
    </w:p>
    <w:p>
      <w:pPr>
        <w:numPr>
          <w:ilvl w:val="0"/>
          <w:numId w:val="3"/>
        </w:numPr>
        <w:spacing w:after="0" w:line="360" w:lineRule="auto"/>
        <w:ind w:left="284"/>
        <w:jc w:val="both"/>
        <w:rPr>
          <w:rFonts w:cs="Arial"/>
          <w:color w:val="000000"/>
          <w:lang w:val="es-ES"/>
        </w:rPr>
      </w:pPr>
      <w:r>
        <w:rPr>
          <w:rFonts w:cs="Arial"/>
          <w:color w:val="000000"/>
          <w:lang w:val="es-ES"/>
        </w:rPr>
        <w:t>Instruksi Presiden Nomor 7 Tahun 1999 tentang Akuntabilitas Kinerja Instansi Pemerintah (AKIP);</w:t>
      </w:r>
    </w:p>
    <w:p>
      <w:pPr>
        <w:numPr>
          <w:ilvl w:val="0"/>
          <w:numId w:val="3"/>
        </w:numPr>
        <w:spacing w:after="0" w:line="360" w:lineRule="auto"/>
        <w:ind w:left="284"/>
        <w:jc w:val="both"/>
        <w:rPr>
          <w:rFonts w:cs="Arial"/>
          <w:color w:val="000000"/>
          <w:lang w:val="es-ES"/>
        </w:rPr>
      </w:pPr>
      <w:r>
        <w:rPr>
          <w:rFonts w:cs="Arial"/>
          <w:color w:val="000000"/>
          <w:lang w:val="es-ES"/>
        </w:rPr>
        <w:t>Instruksi Presiden Nomor 5 Tahun 2004 tentang Percepatan Pemberantasan Korupsi dan</w:t>
      </w:r>
    </w:p>
    <w:p>
      <w:pPr>
        <w:numPr>
          <w:ilvl w:val="0"/>
          <w:numId w:val="3"/>
        </w:numPr>
        <w:spacing w:after="0" w:line="360" w:lineRule="auto"/>
        <w:ind w:left="284"/>
        <w:jc w:val="both"/>
        <w:rPr>
          <w:rFonts w:cs="Arial"/>
          <w:color w:val="000000"/>
        </w:rPr>
      </w:pPr>
      <w:r>
        <w:rPr>
          <w:rFonts w:cs="Arial"/>
          <w:color w:val="000000"/>
          <w:lang w:val="id-ID"/>
        </w:rPr>
        <w:t>Peraturan Menteri PAN/RB no 53 Tahun 2014 tentang  Juknis Perjanjian Kinerja, Pelaporan Kinerja dan Tata cara Reviu atas laporan Kinerja Instansi Pemerintah</w:t>
      </w:r>
    </w:p>
    <w:p>
      <w:pPr>
        <w:numPr>
          <w:ilvl w:val="0"/>
          <w:numId w:val="3"/>
        </w:numPr>
        <w:spacing w:after="0" w:line="360" w:lineRule="auto"/>
        <w:ind w:left="284"/>
        <w:jc w:val="both"/>
        <w:rPr>
          <w:rFonts w:cs="Arial"/>
          <w:color w:val="000000"/>
          <w:lang w:val="es-ES"/>
        </w:rPr>
      </w:pPr>
      <w:r>
        <w:rPr>
          <w:rFonts w:cs="Arial"/>
          <w:color w:val="000000"/>
          <w:lang w:val="es-ES"/>
        </w:rPr>
        <w:t>Peraturan Menteri Kesehatan Nomor 1673/Menkes/PER/XII/2005 tentang Organisasi dan Tata Kerja Rumah Sakit Umum Pusat Dr. Hasan Sadikin Bandung.</w:t>
      </w:r>
    </w:p>
    <w:p>
      <w:pPr>
        <w:numPr>
          <w:ilvl w:val="0"/>
          <w:numId w:val="3"/>
        </w:numPr>
        <w:spacing w:after="0" w:line="360" w:lineRule="auto"/>
        <w:ind w:left="284"/>
        <w:jc w:val="both"/>
        <w:rPr>
          <w:rFonts w:cs="Arial"/>
          <w:color w:val="000000"/>
          <w:lang w:val="es-ES"/>
        </w:rPr>
      </w:pPr>
      <w:r>
        <w:rPr>
          <w:rFonts w:cs="Arial"/>
          <w:color w:val="000000"/>
          <w:lang w:val="es-ES"/>
        </w:rPr>
        <w:t>Peraturan Menteri Keuangan Nomor 76/PMK.05/2008 Tentang Pedoman Akuntansi  dan Pelaporan Keuangan Badan Layanan Umum.</w:t>
      </w:r>
    </w:p>
    <w:p>
      <w:pPr>
        <w:numPr>
          <w:ilvl w:val="0"/>
          <w:numId w:val="3"/>
        </w:numPr>
        <w:spacing w:after="0" w:line="360" w:lineRule="auto"/>
        <w:ind w:left="284"/>
        <w:jc w:val="both"/>
        <w:rPr>
          <w:rFonts w:cs="Arial"/>
          <w:color w:val="000000"/>
          <w:lang w:val="es-ES"/>
        </w:rPr>
      </w:pPr>
      <w:r>
        <w:rPr>
          <w:rFonts w:cs="Arial"/>
          <w:color w:val="000000"/>
          <w:lang w:val="es-ES"/>
        </w:rPr>
        <w:t>Peraturan Menteri Kesehatan Nomor 1144/MENKES/PER/VIII/2010 Tentang Tata Kerja Kementerian Kesehatan.</w:t>
      </w:r>
    </w:p>
    <w:p>
      <w:pPr>
        <w:numPr>
          <w:ilvl w:val="0"/>
          <w:numId w:val="3"/>
        </w:numPr>
        <w:spacing w:after="0" w:line="360" w:lineRule="auto"/>
        <w:ind w:left="284"/>
        <w:jc w:val="both"/>
        <w:rPr>
          <w:rFonts w:cs="Arial"/>
          <w:color w:val="000000"/>
          <w:lang w:val="es-ES"/>
        </w:rPr>
      </w:pPr>
      <w:r>
        <w:rPr>
          <w:rFonts w:cs="Arial"/>
          <w:color w:val="000000"/>
          <w:lang w:val="es-ES"/>
        </w:rPr>
        <w:t>Peraturan Menteri PAN dan RB No. 29 Tahun 2010 tentang Pedoman Penyusunan Tapja dan Pelaporan Akuntabilitas Kinerja Instansi Pemerintah</w:t>
      </w:r>
    </w:p>
    <w:p>
      <w:pPr>
        <w:numPr>
          <w:ilvl w:val="0"/>
          <w:numId w:val="3"/>
        </w:numPr>
        <w:spacing w:after="0" w:line="360" w:lineRule="auto"/>
        <w:ind w:left="284"/>
        <w:jc w:val="both"/>
        <w:rPr>
          <w:rFonts w:cs="Arial"/>
          <w:color w:val="000000"/>
          <w:lang w:val="es-ES"/>
        </w:rPr>
      </w:pPr>
      <w:r>
        <w:rPr>
          <w:rFonts w:cs="Arial"/>
          <w:color w:val="000000"/>
          <w:lang w:val="es-ES"/>
        </w:rPr>
        <w:t>Peraturan Menteri Kesehatan Nomor 1981/MENKES/SK/XII/2010 Tentang Pedoman Akuntansi Badan Layanan Umum (BLU) Rumah Sakit.</w:t>
      </w:r>
    </w:p>
    <w:p>
      <w:pPr>
        <w:numPr>
          <w:ilvl w:val="0"/>
          <w:numId w:val="3"/>
        </w:numPr>
        <w:spacing w:after="0" w:line="360" w:lineRule="auto"/>
        <w:ind w:left="284"/>
        <w:jc w:val="both"/>
        <w:rPr>
          <w:rFonts w:cs="Arial"/>
          <w:color w:val="000000"/>
          <w:lang w:val="es-ES"/>
        </w:rPr>
      </w:pPr>
      <w:r>
        <w:rPr>
          <w:rFonts w:cs="Arial"/>
          <w:color w:val="000000"/>
          <w:lang w:val="es-ES"/>
        </w:rPr>
        <w:t>Peraturan Menteri Keuangan Nomor 249/PMK.02/2011 Tentang Pengukuran dan Evaluasi Kinerja Atas Pelaksanaan Rencana Kerja dan Anggaran Kementerian Negara/Lembaga</w:t>
      </w:r>
    </w:p>
    <w:p>
      <w:pPr>
        <w:numPr>
          <w:ilvl w:val="0"/>
          <w:numId w:val="3"/>
        </w:numPr>
        <w:spacing w:after="0" w:line="360" w:lineRule="auto"/>
        <w:ind w:left="284"/>
        <w:jc w:val="both"/>
        <w:rPr>
          <w:rFonts w:cs="Arial"/>
          <w:color w:val="000000"/>
          <w:lang w:val="es-ES"/>
        </w:rPr>
      </w:pPr>
      <w:r>
        <w:rPr>
          <w:rFonts w:cs="Arial"/>
          <w:color w:val="000000"/>
          <w:lang w:val="es-ES"/>
        </w:rPr>
        <w:t>Peraturan Menteri PAN dan RB Nomor 35 Tahun 2011 tentang Juklak Evaluasi Akuntabilitas Kinerja Instansi Pemerintah</w:t>
      </w:r>
    </w:p>
    <w:p>
      <w:pPr>
        <w:numPr>
          <w:ilvl w:val="0"/>
          <w:numId w:val="3"/>
        </w:numPr>
        <w:spacing w:after="0" w:line="360" w:lineRule="auto"/>
        <w:ind w:left="284"/>
        <w:jc w:val="both"/>
        <w:rPr>
          <w:rFonts w:cs="Arial"/>
          <w:color w:val="000000"/>
          <w:lang w:val="es-ES"/>
        </w:rPr>
      </w:pPr>
      <w:r>
        <w:rPr>
          <w:rFonts w:cs="Arial"/>
          <w:color w:val="000000"/>
          <w:lang w:val="es-ES"/>
        </w:rPr>
        <w:t>Keputusan Direktur Jenderal Bina Upaya Kesehatan Nomor HK.02.02.04/1568/12 tanggal 28 Agustus 2012.</w:t>
      </w:r>
    </w:p>
    <w:p>
      <w:pPr>
        <w:numPr>
          <w:ilvl w:val="0"/>
          <w:numId w:val="3"/>
        </w:numPr>
        <w:spacing w:after="0" w:line="360" w:lineRule="auto"/>
        <w:ind w:left="284"/>
        <w:jc w:val="both"/>
        <w:rPr>
          <w:rFonts w:cs="Arial"/>
          <w:color w:val="000000"/>
          <w:lang w:val="es-ES"/>
        </w:rPr>
      </w:pPr>
      <w:r>
        <w:rPr>
          <w:rFonts w:cs="Arial"/>
          <w:color w:val="000000"/>
          <w:lang w:val="es-ES"/>
        </w:rPr>
        <w:t>Surat Edaran Direktur Jenderal Bina Upaya Kesehatan Nomor PR.03.02./I/1466/12 Tentang Laporan Berkala Satuan Kerja (Laporan Semester dan Laporan Tahunan) Direktorat Jenderal Bina Upaya Kesehatan</w:t>
      </w:r>
    </w:p>
    <w:p>
      <w:pPr>
        <w:numPr>
          <w:ilvl w:val="0"/>
          <w:numId w:val="3"/>
        </w:numPr>
        <w:spacing w:after="0" w:line="360" w:lineRule="auto"/>
        <w:ind w:left="284"/>
        <w:jc w:val="both"/>
        <w:rPr>
          <w:rFonts w:cs="Arial"/>
          <w:color w:val="000000"/>
          <w:lang w:val="es-ES"/>
        </w:rPr>
      </w:pPr>
      <w:r>
        <w:rPr>
          <w:rFonts w:cs="Arial"/>
          <w:color w:val="000000"/>
          <w:lang w:val="es-ES"/>
        </w:rPr>
        <w:t>Rencana Aksi Direktorat Jenderal Bina Upaya Kesehatan</w:t>
      </w:r>
    </w:p>
    <w:p>
      <w:pPr>
        <w:pStyle w:val="3"/>
        <w:rPr>
          <w:rFonts w:eastAsia="Calibri"/>
          <w:lang w:val="id-ID"/>
        </w:rPr>
      </w:pPr>
      <w:bookmarkStart w:id="7" w:name="_Toc431267221"/>
      <w:r>
        <w:rPr>
          <w:rFonts w:eastAsia="Calibri"/>
          <w:lang w:val="sv-SE"/>
        </w:rPr>
        <w:t>I.</w:t>
      </w:r>
      <w:r>
        <w:rPr>
          <w:rFonts w:eastAsia="Calibri"/>
          <w:lang w:val="id-ID"/>
        </w:rPr>
        <w:t>4</w:t>
      </w:r>
      <w:r>
        <w:rPr>
          <w:rFonts w:eastAsia="Calibri"/>
          <w:lang w:val="sv-SE"/>
        </w:rPr>
        <w:t xml:space="preserve"> Metodologi Penyusunan Renstra</w:t>
      </w:r>
      <w:bookmarkEnd w:id="7"/>
      <w:r>
        <w:rPr>
          <w:rFonts w:eastAsia="Calibri"/>
          <w:lang w:val="id-ID"/>
        </w:rPr>
        <w:t xml:space="preserve"> dan Review Renstra</w:t>
      </w:r>
    </w:p>
    <w:p>
      <w:pPr>
        <w:spacing w:after="0" w:line="360" w:lineRule="auto"/>
        <w:jc w:val="both"/>
        <w:rPr>
          <w:b/>
          <w:lang w:val="id-ID"/>
        </w:rPr>
      </w:pPr>
      <w:r>
        <w:rPr>
          <w:b/>
          <w:lang w:val="id-ID"/>
        </w:rPr>
        <w:t>a. Penyusunan Renstra</w:t>
      </w:r>
    </w:p>
    <w:p>
      <w:pPr>
        <w:spacing w:line="360" w:lineRule="auto"/>
        <w:ind w:firstLine="709"/>
        <w:jc w:val="both"/>
      </w:pPr>
      <w:r>
        <w:t xml:space="preserve">Berdasarkan tujuan RSB yang hendak dicapai di atas, maka pelaksanaan penyusunan RSB periode tahun 2015-2019 dilakukan dengan mekanisme </w:t>
      </w:r>
      <w:r>
        <w:rPr>
          <w:i/>
        </w:rPr>
        <w:t>Focus Group Discussion</w:t>
      </w:r>
      <w:r>
        <w:t xml:space="preserve"> (FGD) antara jajaran direksi RSHS, </w:t>
      </w:r>
      <w:r>
        <w:rPr>
          <w:lang w:val="id-ID"/>
        </w:rPr>
        <w:t xml:space="preserve">direksi PMN RSMC, </w:t>
      </w:r>
      <w:r>
        <w:t xml:space="preserve">Dekanat FKUP, dan tim konsultan. FGD merupakan </w:t>
      </w:r>
      <w:r>
        <w:rPr>
          <w:rFonts w:cs="Calibri"/>
          <w:lang w:eastAsia="en-GB"/>
        </w:rPr>
        <w:t>salah satu metode pengambilan keputusan kelompok yang menggabungkan pengambilan suara para anggota tim ahli (</w:t>
      </w:r>
      <w:r>
        <w:rPr>
          <w:rFonts w:cs="Calibri"/>
          <w:i/>
          <w:iCs/>
          <w:lang w:eastAsia="en-GB"/>
        </w:rPr>
        <w:t xml:space="preserve">expert </w:t>
      </w:r>
      <w:r>
        <w:rPr>
          <w:rFonts w:cs="Calibri"/>
          <w:iCs/>
          <w:lang w:eastAsia="en-GB"/>
        </w:rPr>
        <w:t>atau jajaran direksi RSHS</w:t>
      </w:r>
      <w:r>
        <w:rPr>
          <w:rFonts w:cs="Calibri"/>
          <w:iCs/>
          <w:lang w:val="id-ID" w:eastAsia="en-GB"/>
        </w:rPr>
        <w:t>,</w:t>
      </w:r>
      <w:r>
        <w:rPr>
          <w:rFonts w:cs="Calibri"/>
          <w:iCs/>
          <w:lang w:eastAsia="en-GB"/>
        </w:rPr>
        <w:t xml:space="preserve"> </w:t>
      </w:r>
      <w:r>
        <w:rPr>
          <w:lang w:val="id-ID"/>
        </w:rPr>
        <w:t>direksi PMN RSMC,</w:t>
      </w:r>
      <w:r>
        <w:t xml:space="preserve"> </w:t>
      </w:r>
      <w:r>
        <w:rPr>
          <w:rFonts w:cs="Calibri"/>
          <w:iCs/>
          <w:lang w:eastAsia="en-GB"/>
        </w:rPr>
        <w:t>dan jajaran Dekanat FKUP)</w:t>
      </w:r>
      <w:r>
        <w:rPr>
          <w:rFonts w:cs="Calibri"/>
          <w:lang w:eastAsia="en-GB"/>
        </w:rPr>
        <w:t xml:space="preserve"> dengan diskusi terbatas untuk menciptakan konsensus dan mendapatkan keputusan tim. </w:t>
      </w:r>
      <w:r>
        <w:t>Pilihan yang melarbelakangi pemilihan mekanisme FGD adalah karena alasan sebagai berikut :</w:t>
      </w:r>
    </w:p>
    <w:p>
      <w:pPr>
        <w:pStyle w:val="30"/>
        <w:numPr>
          <w:ilvl w:val="0"/>
          <w:numId w:val="4"/>
        </w:numPr>
        <w:spacing w:before="0" w:after="0"/>
        <w:ind w:left="426" w:hanging="426"/>
        <w:rPr>
          <w:rFonts w:ascii="Calibri" w:hAnsi="Calibri" w:cs="Calibri"/>
          <w:sz w:val="24"/>
          <w:szCs w:val="24"/>
          <w:lang w:eastAsia="en-GB"/>
        </w:rPr>
      </w:pPr>
      <w:r>
        <w:rPr>
          <w:rFonts w:ascii="Calibri" w:hAnsi="Calibri" w:cs="Calibri"/>
          <w:sz w:val="24"/>
          <w:szCs w:val="24"/>
          <w:lang w:eastAsia="en-GB"/>
        </w:rPr>
        <w:t>FGD dihadiri oleh pimpinan RSHS</w:t>
      </w:r>
      <w:r>
        <w:rPr>
          <w:rFonts w:ascii="Calibri" w:hAnsi="Calibri" w:cs="Calibri"/>
          <w:sz w:val="24"/>
          <w:szCs w:val="24"/>
          <w:lang w:val="id-ID" w:eastAsia="en-GB"/>
        </w:rPr>
        <w:t>, PMN RSMC,</w:t>
      </w:r>
      <w:r>
        <w:rPr>
          <w:rFonts w:ascii="Calibri" w:hAnsi="Calibri" w:cs="Calibri"/>
          <w:sz w:val="24"/>
          <w:szCs w:val="24"/>
          <w:lang w:eastAsia="en-GB"/>
        </w:rPr>
        <w:t xml:space="preserve"> dan FKUP yang sangat memahami tentang seluk beluk permasalahan kinerja RSHS</w:t>
      </w:r>
      <w:r>
        <w:rPr>
          <w:rFonts w:ascii="Calibri" w:hAnsi="Calibri" w:cs="Calibri"/>
          <w:sz w:val="24"/>
          <w:szCs w:val="24"/>
          <w:lang w:val="id-ID" w:eastAsia="en-GB"/>
        </w:rPr>
        <w:t>, PMN RSMC</w:t>
      </w:r>
      <w:r>
        <w:rPr>
          <w:rFonts w:ascii="Calibri" w:hAnsi="Calibri" w:cs="Calibri"/>
          <w:sz w:val="24"/>
          <w:szCs w:val="24"/>
          <w:lang w:eastAsia="en-GB"/>
        </w:rPr>
        <w:t xml:space="preserve"> dan FKUP serta arah dan prioritas strategis RSHS</w:t>
      </w:r>
      <w:r>
        <w:rPr>
          <w:rFonts w:ascii="Calibri" w:hAnsi="Calibri" w:cs="Calibri"/>
          <w:sz w:val="24"/>
          <w:szCs w:val="24"/>
          <w:lang w:val="id-ID" w:eastAsia="en-GB"/>
        </w:rPr>
        <w:t>, PMN RSMC,</w:t>
      </w:r>
      <w:r>
        <w:rPr>
          <w:rFonts w:ascii="Calibri" w:hAnsi="Calibri" w:cs="Calibri"/>
          <w:sz w:val="24"/>
          <w:szCs w:val="24"/>
          <w:lang w:eastAsia="en-GB"/>
        </w:rPr>
        <w:t xml:space="preserve"> dan FKUP di masa mendatang, sehingga kualitas informasi RSB RSHS-</w:t>
      </w:r>
      <w:r>
        <w:rPr>
          <w:rFonts w:ascii="Calibri" w:hAnsi="Calibri" w:cs="Calibri"/>
          <w:sz w:val="24"/>
          <w:szCs w:val="24"/>
          <w:lang w:val="id-ID" w:eastAsia="en-GB"/>
        </w:rPr>
        <w:t>PMN RSMC</w:t>
      </w:r>
      <w:r>
        <w:rPr>
          <w:rFonts w:ascii="Calibri" w:hAnsi="Calibri" w:cs="Calibri"/>
          <w:sz w:val="24"/>
          <w:szCs w:val="24"/>
          <w:lang w:eastAsia="en-GB"/>
        </w:rPr>
        <w:t>-FKUP yang diperoleh akan sangat tinggi.</w:t>
      </w:r>
    </w:p>
    <w:p>
      <w:pPr>
        <w:pStyle w:val="30"/>
        <w:numPr>
          <w:ilvl w:val="0"/>
          <w:numId w:val="4"/>
        </w:numPr>
        <w:spacing w:before="0" w:after="0"/>
        <w:ind w:left="426" w:hanging="426"/>
        <w:rPr>
          <w:rFonts w:ascii="Calibri" w:hAnsi="Calibri" w:cs="Calibri"/>
          <w:sz w:val="24"/>
          <w:szCs w:val="24"/>
          <w:lang w:eastAsia="en-GB"/>
        </w:rPr>
      </w:pPr>
      <w:r>
        <w:rPr>
          <w:rFonts w:ascii="Calibri" w:hAnsi="Calibri" w:cs="Calibri"/>
          <w:sz w:val="24"/>
          <w:szCs w:val="24"/>
          <w:lang w:eastAsia="en-GB"/>
        </w:rPr>
        <w:t>FGD memungkinkan proses perumusan dan pemilihan terjadi secara interaktif, sehingga seorang ahli (</w:t>
      </w:r>
      <w:r>
        <w:rPr>
          <w:rFonts w:ascii="Calibri" w:hAnsi="Calibri" w:cs="Calibri"/>
          <w:iCs/>
          <w:sz w:val="24"/>
          <w:szCs w:val="24"/>
          <w:lang w:eastAsia="en-GB"/>
        </w:rPr>
        <w:t>pimpinan institusi</w:t>
      </w:r>
      <w:r>
        <w:rPr>
          <w:rFonts w:ascii="Calibri" w:hAnsi="Calibri" w:cs="Calibri"/>
          <w:sz w:val="24"/>
          <w:szCs w:val="24"/>
          <w:lang w:eastAsia="en-GB"/>
        </w:rPr>
        <w:t xml:space="preserve">) akan dapat memperbaiki rumusan atau pilihannya setelah mendengarkan argumentasi yang disampaikan oleh jajaran </w:t>
      </w:r>
      <w:r>
        <w:rPr>
          <w:rFonts w:ascii="Calibri" w:hAnsi="Calibri" w:cs="Calibri"/>
          <w:iCs/>
          <w:sz w:val="24"/>
          <w:szCs w:val="24"/>
          <w:lang w:eastAsia="en-GB"/>
        </w:rPr>
        <w:t>pimpinan institusi</w:t>
      </w:r>
      <w:r>
        <w:rPr>
          <w:rFonts w:ascii="Calibri" w:hAnsi="Calibri" w:cs="Calibri"/>
          <w:sz w:val="24"/>
          <w:szCs w:val="24"/>
          <w:lang w:eastAsia="en-GB"/>
        </w:rPr>
        <w:t xml:space="preserve"> lainnya.</w:t>
      </w:r>
    </w:p>
    <w:p>
      <w:pPr>
        <w:pStyle w:val="30"/>
        <w:numPr>
          <w:ilvl w:val="0"/>
          <w:numId w:val="4"/>
        </w:numPr>
        <w:spacing w:before="0" w:after="0"/>
        <w:ind w:left="426" w:hanging="426"/>
        <w:rPr>
          <w:rFonts w:ascii="Calibri" w:hAnsi="Calibri" w:cs="Calibri"/>
          <w:sz w:val="24"/>
          <w:szCs w:val="24"/>
          <w:lang w:eastAsia="en-GB"/>
        </w:rPr>
      </w:pPr>
      <w:r>
        <w:rPr>
          <w:rFonts w:ascii="Calibri" w:hAnsi="Calibri" w:cs="Calibri"/>
          <w:sz w:val="24"/>
          <w:szCs w:val="24"/>
          <w:lang w:eastAsia="en-GB"/>
        </w:rPr>
        <w:t xml:space="preserve">FGD dibagi dalam beberapa tahapan untuk memberikan kesempatan kepada setiap </w:t>
      </w:r>
      <w:r>
        <w:rPr>
          <w:rFonts w:ascii="Calibri" w:hAnsi="Calibri" w:cs="Calibri"/>
          <w:iCs/>
          <w:sz w:val="24"/>
          <w:szCs w:val="24"/>
          <w:lang w:eastAsia="en-GB"/>
        </w:rPr>
        <w:t xml:space="preserve">pimpinan institusi </w:t>
      </w:r>
      <w:r>
        <w:rPr>
          <w:rFonts w:ascii="Calibri" w:hAnsi="Calibri" w:cs="Calibri"/>
          <w:sz w:val="24"/>
          <w:szCs w:val="24"/>
          <w:lang w:eastAsia="en-GB"/>
        </w:rPr>
        <w:t xml:space="preserve">untuk melahirkan suatu rumusan terbaik yang dipilih atau disepakati dalam diskusi tersebut. Dengan kata lain, pendekatan ini juga digunakan untuk mendorong jajaran </w:t>
      </w:r>
      <w:r>
        <w:rPr>
          <w:rFonts w:ascii="Calibri" w:hAnsi="Calibri" w:cs="Calibri"/>
          <w:iCs/>
          <w:sz w:val="24"/>
          <w:szCs w:val="24"/>
          <w:lang w:eastAsia="en-GB"/>
        </w:rPr>
        <w:t>pimpinan institusi</w:t>
      </w:r>
      <w:r>
        <w:rPr>
          <w:rFonts w:ascii="Calibri" w:hAnsi="Calibri" w:cs="Calibri"/>
          <w:sz w:val="24"/>
          <w:szCs w:val="24"/>
          <w:lang w:eastAsia="en-GB"/>
        </w:rPr>
        <w:t xml:space="preserve"> agar mempunyai tingkat partisipasi yang sama dalam setiap tahapan diskusi, tanpa harus dibebani oleh alasan senioritas, jabatan, atau hambatan kepribadian.</w:t>
      </w:r>
    </w:p>
    <w:p>
      <w:pPr>
        <w:pStyle w:val="30"/>
        <w:numPr>
          <w:ilvl w:val="0"/>
          <w:numId w:val="4"/>
        </w:numPr>
        <w:spacing w:before="0" w:after="0"/>
        <w:ind w:left="426" w:hanging="426"/>
        <w:rPr>
          <w:rFonts w:ascii="Calibri" w:hAnsi="Calibri" w:cs="Calibri"/>
          <w:sz w:val="24"/>
          <w:szCs w:val="24"/>
          <w:lang w:eastAsia="en-GB"/>
        </w:rPr>
      </w:pPr>
      <w:r>
        <w:rPr>
          <w:rFonts w:ascii="Calibri" w:hAnsi="Calibri" w:cs="Calibri"/>
          <w:sz w:val="24"/>
          <w:szCs w:val="24"/>
          <w:lang w:eastAsia="en-GB"/>
        </w:rPr>
        <w:t>FGD cocok diterapkan untuk permasalahan yang sensitif dan penting, seperti dalam penyusunan RSB RSHS-</w:t>
      </w:r>
      <w:r>
        <w:rPr>
          <w:rFonts w:ascii="Calibri" w:hAnsi="Calibri" w:cs="Calibri"/>
          <w:sz w:val="24"/>
          <w:szCs w:val="24"/>
          <w:lang w:val="id-ID" w:eastAsia="en-GB"/>
        </w:rPr>
        <w:t>PMN RSMC</w:t>
      </w:r>
      <w:r>
        <w:rPr>
          <w:rFonts w:ascii="Calibri" w:hAnsi="Calibri" w:cs="Calibri"/>
          <w:sz w:val="24"/>
          <w:szCs w:val="24"/>
          <w:lang w:eastAsia="en-GB"/>
        </w:rPr>
        <w:t>-FKUP. Metode ini dapat digunakan dalam pengambilan keputusan untuk tahapan-tahapan pengembangan renstra karena diperkirakan terdapat perbenturan gagasan dan pembahasan berbelit-belit di antara peserta diskusi penyusunan renstra.</w:t>
      </w:r>
    </w:p>
    <w:p>
      <w:pPr>
        <w:pStyle w:val="30"/>
        <w:numPr>
          <w:ilvl w:val="0"/>
          <w:numId w:val="4"/>
        </w:numPr>
        <w:spacing w:before="0" w:after="360"/>
        <w:ind w:left="426" w:hanging="426"/>
        <w:rPr>
          <w:rFonts w:ascii="Calibri" w:hAnsi="Calibri" w:cs="Calibri"/>
          <w:sz w:val="24"/>
          <w:szCs w:val="24"/>
          <w:lang w:eastAsia="en-GB"/>
        </w:rPr>
      </w:pPr>
      <w:r>
        <w:rPr>
          <w:rFonts w:ascii="Calibri" w:hAnsi="Calibri" w:cs="Calibri"/>
          <w:sz w:val="24"/>
          <w:szCs w:val="24"/>
          <w:lang w:eastAsia="en-GB"/>
        </w:rPr>
        <w:t xml:space="preserve">FGD dimungkinkan terbentuknya suatu komitmen di antara para direksi RSHS, direksi </w:t>
      </w:r>
      <w:r>
        <w:rPr>
          <w:rFonts w:ascii="Calibri" w:hAnsi="Calibri" w:cs="Calibri"/>
          <w:sz w:val="24"/>
          <w:szCs w:val="24"/>
          <w:lang w:val="id-ID" w:eastAsia="en-GB"/>
        </w:rPr>
        <w:t>PMN RSMC</w:t>
      </w:r>
      <w:r>
        <w:rPr>
          <w:rFonts w:ascii="Calibri" w:hAnsi="Calibri" w:cs="Calibri"/>
          <w:sz w:val="24"/>
          <w:szCs w:val="24"/>
          <w:lang w:eastAsia="en-GB"/>
        </w:rPr>
        <w:t xml:space="preserve"> dan Dekanat FKUP dan antar dan institusi tentang hal-hal yang telah disepakati dalam renstra dan kemudian digunakan sebagai dasar untuk kontrak kinerja bagi lapisan organisasi yang lebih rendah yang menjadi lingkup kendalinya dalam mengawal dan mengendalikan mutu eksekusi RSB RSHS-</w:t>
      </w:r>
      <w:r>
        <w:rPr>
          <w:rFonts w:ascii="Calibri" w:hAnsi="Calibri" w:cs="Calibri"/>
          <w:sz w:val="24"/>
          <w:szCs w:val="24"/>
          <w:lang w:val="id-ID" w:eastAsia="en-GB"/>
        </w:rPr>
        <w:t>PMN RSMC</w:t>
      </w:r>
      <w:r>
        <w:rPr>
          <w:rFonts w:ascii="Calibri" w:hAnsi="Calibri" w:cs="Calibri"/>
          <w:sz w:val="24"/>
          <w:szCs w:val="24"/>
          <w:lang w:eastAsia="en-GB"/>
        </w:rPr>
        <w:t>-FKUP</w:t>
      </w:r>
      <w:r>
        <w:rPr>
          <w:rFonts w:ascii="Calibri" w:hAnsi="Calibri" w:cs="Calibri"/>
          <w:sz w:val="24"/>
          <w:szCs w:val="24"/>
          <w:lang w:val="id-ID" w:eastAsia="en-GB"/>
        </w:rPr>
        <w:t>.</w:t>
      </w:r>
    </w:p>
    <w:p>
      <w:pPr>
        <w:pStyle w:val="30"/>
        <w:spacing w:before="0" w:after="360"/>
        <w:ind w:left="426" w:firstLine="0"/>
        <w:rPr>
          <w:rFonts w:ascii="Calibri" w:hAnsi="Calibri" w:cs="Calibri"/>
          <w:sz w:val="24"/>
          <w:szCs w:val="24"/>
          <w:lang w:eastAsia="en-GB"/>
        </w:rPr>
      </w:pPr>
    </w:p>
    <w:p>
      <w:pPr>
        <w:pStyle w:val="30"/>
        <w:spacing w:before="0" w:after="0"/>
        <w:ind w:firstLine="0"/>
        <w:rPr>
          <w:rFonts w:ascii="Calibri" w:hAnsi="Calibri" w:cs="Calibri"/>
          <w:b/>
          <w:sz w:val="24"/>
          <w:szCs w:val="24"/>
          <w:lang w:eastAsia="en-GB"/>
        </w:rPr>
      </w:pPr>
      <w:r>
        <w:rPr>
          <w:rFonts w:ascii="Calibri" w:hAnsi="Calibri" w:cs="Calibri"/>
          <w:b/>
          <w:sz w:val="24"/>
          <w:szCs w:val="24"/>
          <w:lang w:val="id-ID" w:eastAsia="en-GB"/>
        </w:rPr>
        <w:t>b. Revi</w:t>
      </w:r>
      <w:r>
        <w:rPr>
          <w:rFonts w:ascii="Calibri" w:hAnsi="Calibri" w:cs="Calibri"/>
          <w:b/>
          <w:sz w:val="24"/>
          <w:szCs w:val="24"/>
          <w:lang w:eastAsia="en-GB"/>
        </w:rPr>
        <w:t>u</w:t>
      </w:r>
      <w:r>
        <w:rPr>
          <w:rFonts w:ascii="Calibri" w:hAnsi="Calibri" w:cs="Calibri"/>
          <w:b/>
          <w:sz w:val="24"/>
          <w:szCs w:val="24"/>
          <w:lang w:val="id-ID" w:eastAsia="en-GB"/>
        </w:rPr>
        <w:t xml:space="preserve"> Renstra</w:t>
      </w:r>
    </w:p>
    <w:p>
      <w:pPr>
        <w:pStyle w:val="3"/>
        <w:spacing w:line="360" w:lineRule="auto"/>
        <w:ind w:firstLine="709"/>
        <w:jc w:val="both"/>
        <w:rPr>
          <w:rFonts w:eastAsia="Calibri"/>
          <w:b w:val="0"/>
          <w:lang w:val="sv-SE"/>
        </w:rPr>
      </w:pPr>
      <w:bookmarkStart w:id="8" w:name="_Toc431267222"/>
      <w:r>
        <w:rPr>
          <w:rFonts w:eastAsia="Calibri"/>
          <w:b w:val="0"/>
          <w:lang w:val="sv-SE"/>
        </w:rPr>
        <w:t xml:space="preserve">Berdasarkan </w:t>
      </w:r>
      <w:r>
        <w:rPr>
          <w:rFonts w:eastAsia="Calibri"/>
          <w:b w:val="0"/>
          <w:lang w:val="id-ID"/>
        </w:rPr>
        <w:t>Peraturan Menteri PAN/RB no 53 Tahun 2014 tentang Juknis Perjanjian Kinerja, Pelaporan Kinerja dan Tata cara Reviu atas laporan Kinerja Instansi Pemerintah</w:t>
      </w:r>
      <w:r>
        <w:rPr>
          <w:rFonts w:eastAsia="Calibri"/>
        </w:rPr>
        <w:t xml:space="preserve"> </w:t>
      </w:r>
      <w:r>
        <w:rPr>
          <w:rFonts w:eastAsia="Calibri"/>
          <w:b w:val="0"/>
          <w:lang w:val="sv-SE"/>
        </w:rPr>
        <w:t>dan arahan Kementerian Kesehatan RI bahwa setiap renstra satuan kerja harus di reviu setiap tahunnya seiring dengan perkembangan dinamika yang terjadi setiap waktu.</w:t>
      </w:r>
    </w:p>
    <w:p>
      <w:pPr>
        <w:spacing w:line="360" w:lineRule="auto"/>
        <w:ind w:firstLine="709"/>
        <w:jc w:val="both"/>
        <w:rPr>
          <w:rFonts w:eastAsia="Calibri"/>
          <w:lang w:val="sv-SE"/>
        </w:rPr>
      </w:pPr>
      <w:r>
        <w:rPr>
          <w:rFonts w:eastAsia="Calibri"/>
          <w:lang w:val="sv-SE"/>
        </w:rPr>
        <w:t xml:space="preserve">Dalam melakukan reviu menghasilkan kesepakatan bahwa institusi mempunyai RSB masing-masing dan memiliki indikator kunci serta program kerja sesuai dengan tupoksinya masing-masing dalam mewujudkan visi misi bersama. Ke tiga institusi tersebut memiliki visi misi yang sama yaitu : </w:t>
      </w:r>
      <w:r>
        <w:rPr>
          <w:bCs/>
          <w:i/>
          <w:iCs/>
        </w:rPr>
        <w:t>Menjadi Institusi Kesehatan yang unggul dan transformatif dalam meningkatkan status kesehatan masyarakat</w:t>
      </w:r>
      <w:r>
        <w:rPr>
          <w:rFonts w:eastAsia="Calibri"/>
          <w:lang w:val="sv-SE"/>
        </w:rPr>
        <w:t>, yang tertuang dalam perjanjian kerja sama sebagai kesepakatan untuk mencapai visi misi tersebut.</w:t>
      </w:r>
    </w:p>
    <w:p>
      <w:pPr>
        <w:pStyle w:val="3"/>
        <w:rPr>
          <w:rFonts w:eastAsia="Calibri"/>
          <w:lang w:val="id-ID"/>
        </w:rPr>
      </w:pPr>
      <w:r>
        <w:rPr>
          <w:rFonts w:eastAsia="Calibri"/>
          <w:lang w:val="sv-SE"/>
        </w:rPr>
        <w:t>I.</w:t>
      </w:r>
      <w:r>
        <w:rPr>
          <w:rFonts w:eastAsia="Calibri"/>
          <w:lang w:val="id-ID"/>
        </w:rPr>
        <w:t>5</w:t>
      </w:r>
      <w:r>
        <w:rPr>
          <w:rFonts w:eastAsia="Calibri"/>
          <w:lang w:val="sv-SE"/>
        </w:rPr>
        <w:t xml:space="preserve">. </w:t>
      </w:r>
      <w:r>
        <w:rPr>
          <w:rFonts w:eastAsia="Calibri"/>
        </w:rPr>
        <w:t>Struktur</w:t>
      </w:r>
      <w:r>
        <w:rPr>
          <w:rFonts w:eastAsia="Calibri"/>
          <w:lang w:val="id-ID"/>
        </w:rPr>
        <w:t xml:space="preserve"> Buku RSB</w:t>
      </w:r>
      <w:bookmarkEnd w:id="8"/>
    </w:p>
    <w:p>
      <w:pPr>
        <w:spacing w:before="240" w:after="0" w:line="240" w:lineRule="auto"/>
        <w:ind w:firstLine="709"/>
        <w:jc w:val="both"/>
      </w:pPr>
      <w:r>
        <w:t xml:space="preserve">Struktur buku </w:t>
      </w:r>
      <w:r>
        <w:rPr>
          <w:rFonts w:cs="Calibri"/>
          <w:lang w:eastAsia="en-GB"/>
        </w:rPr>
        <w:t xml:space="preserve">RSB RSHS </w:t>
      </w:r>
      <w:r>
        <w:t>periode tahun 2015-2019 mempunyai isi sebagai berikut :</w:t>
      </w:r>
    </w:p>
    <w:p>
      <w:pPr>
        <w:tabs>
          <w:tab w:val="left" w:pos="720"/>
          <w:tab w:val="left" w:pos="864"/>
        </w:tabs>
        <w:spacing w:after="0" w:line="240" w:lineRule="auto"/>
        <w:ind w:left="851" w:hanging="851"/>
        <w:jc w:val="both"/>
      </w:pPr>
      <w:r>
        <w:t>Bab 1</w:t>
      </w:r>
      <w:r>
        <w:tab/>
      </w:r>
      <w:r>
        <w:t>:</w:t>
      </w:r>
      <w:r>
        <w:tab/>
      </w:r>
      <w:r>
        <w:t>Isi bab ini menggambarkan latar belakang  diperlukannya RSB</w:t>
      </w:r>
      <w:r>
        <w:rPr>
          <w:lang w:val="id-ID"/>
        </w:rPr>
        <w:t xml:space="preserve"> RSHS</w:t>
      </w:r>
      <w:r>
        <w:t>, tujuan RSB, dan metodologi penyusunan RSB periode tahun 2015-2019.</w:t>
      </w:r>
    </w:p>
    <w:p>
      <w:pPr>
        <w:tabs>
          <w:tab w:val="left" w:pos="720"/>
          <w:tab w:val="left" w:pos="864"/>
        </w:tabs>
        <w:spacing w:after="0" w:line="240" w:lineRule="auto"/>
        <w:jc w:val="both"/>
      </w:pPr>
      <w:r>
        <w:t>Bab 2</w:t>
      </w:r>
      <w:r>
        <w:tab/>
      </w:r>
      <w:r>
        <w:t>:</w:t>
      </w:r>
      <w:r>
        <w:tab/>
      </w:r>
      <w:r>
        <w:t>Isi bab ini merupakan gambaran kinerja saat ini.</w:t>
      </w:r>
    </w:p>
    <w:p>
      <w:pPr>
        <w:tabs>
          <w:tab w:val="left" w:pos="720"/>
          <w:tab w:val="left" w:pos="864"/>
        </w:tabs>
        <w:spacing w:after="0" w:line="240" w:lineRule="auto"/>
        <w:jc w:val="both"/>
        <w:rPr>
          <w:lang w:val="id-ID"/>
        </w:rPr>
      </w:pPr>
      <w:r>
        <w:t>Bab 3</w:t>
      </w:r>
      <w:r>
        <w:tab/>
      </w:r>
      <w:r>
        <w:t>:</w:t>
      </w:r>
      <w:r>
        <w:tab/>
      </w:r>
      <w:r>
        <w:rPr>
          <w:lang w:val="id-ID"/>
        </w:rPr>
        <w:t>membahas AHS Jawa Barat</w:t>
      </w:r>
    </w:p>
    <w:p>
      <w:pPr>
        <w:tabs>
          <w:tab w:val="left" w:pos="720"/>
          <w:tab w:val="left" w:pos="864"/>
        </w:tabs>
        <w:spacing w:after="0" w:line="240" w:lineRule="auto"/>
        <w:ind w:left="851" w:hanging="851"/>
        <w:jc w:val="both"/>
      </w:pPr>
      <w:r>
        <w:rPr>
          <w:lang w:val="id-ID"/>
        </w:rPr>
        <w:t>Bab 4</w:t>
      </w:r>
      <w:r>
        <w:rPr>
          <w:lang w:val="id-ID"/>
        </w:rPr>
        <w:tab/>
      </w:r>
      <w:r>
        <w:rPr>
          <w:lang w:val="id-ID"/>
        </w:rPr>
        <w:t xml:space="preserve">: </w:t>
      </w:r>
      <w:r>
        <w:t>Isi bab ini menggambarkan arah dan prioritas strategis RSHS</w:t>
      </w:r>
      <w:r>
        <w:rPr>
          <w:color w:val="FF0000"/>
        </w:rPr>
        <w:t xml:space="preserve"> </w:t>
      </w:r>
      <w:r>
        <w:t xml:space="preserve">yang dimulai dengan mengidentifikasi apa saja tuntutan </w:t>
      </w:r>
      <w:r>
        <w:rPr>
          <w:i/>
        </w:rPr>
        <w:t>stakeholders</w:t>
      </w:r>
      <w:r>
        <w:t xml:space="preserve"> utama, tantangan strategis, analisa </w:t>
      </w:r>
      <w:r>
        <w:rPr>
          <w:i/>
        </w:rPr>
        <w:t>benchmarking</w:t>
      </w:r>
      <w:r>
        <w:t>, rumusan visi, misi, dan tata nilai, analisa SWOT dan posisi bersaing, dan peta strategi periode tahun 2015-2019.</w:t>
      </w:r>
    </w:p>
    <w:p>
      <w:pPr>
        <w:tabs>
          <w:tab w:val="left" w:pos="720"/>
          <w:tab w:val="left" w:pos="864"/>
        </w:tabs>
        <w:spacing w:after="0" w:line="240" w:lineRule="auto"/>
        <w:ind w:left="851" w:hanging="851"/>
        <w:jc w:val="both"/>
      </w:pPr>
      <w:r>
        <w:t xml:space="preserve">Bab </w:t>
      </w:r>
      <w:r>
        <w:rPr>
          <w:lang w:val="id-ID"/>
        </w:rPr>
        <w:t>5</w:t>
      </w:r>
      <w:r>
        <w:tab/>
      </w:r>
      <w:r>
        <w:t>:</w:t>
      </w:r>
      <w:r>
        <w:tab/>
      </w:r>
      <w:r>
        <w:t>Isi bab ini menggambarkan indikator kinerja (KPI) dan program kerja strategis yang diperlukan untuk mewujudkan target-target KPI pada periode tahun 2015-2019.</w:t>
      </w:r>
    </w:p>
    <w:p>
      <w:pPr>
        <w:tabs>
          <w:tab w:val="left" w:pos="720"/>
          <w:tab w:val="left" w:pos="864"/>
        </w:tabs>
        <w:spacing w:after="0" w:line="240" w:lineRule="auto"/>
        <w:ind w:left="851" w:hanging="851"/>
        <w:jc w:val="both"/>
      </w:pPr>
      <w:r>
        <w:t xml:space="preserve">Bab </w:t>
      </w:r>
      <w:r>
        <w:rPr>
          <w:lang w:val="id-ID"/>
        </w:rPr>
        <w:t>6</w:t>
      </w:r>
      <w:r>
        <w:tab/>
      </w:r>
      <w:r>
        <w:t>:</w:t>
      </w:r>
      <w:r>
        <w:tab/>
      </w:r>
      <w:r>
        <w:t>Isi bab ini menggambarkan analisa dan mitigasi risiko yang dilakukan untuk menghadapi dan mengantisipasi potensi kemunculan risiko dan dampaknya pada periode tahun 2015-2019.</w:t>
      </w:r>
    </w:p>
    <w:p>
      <w:pPr>
        <w:tabs>
          <w:tab w:val="left" w:pos="720"/>
          <w:tab w:val="left" w:pos="864"/>
        </w:tabs>
        <w:spacing w:after="0" w:line="240" w:lineRule="auto"/>
        <w:ind w:left="851" w:hanging="851"/>
        <w:jc w:val="both"/>
      </w:pPr>
      <w:r>
        <w:rPr>
          <w:lang w:val="id-ID"/>
        </w:rPr>
        <w:t>Bab 7</w:t>
      </w:r>
      <w:r>
        <w:rPr>
          <w:lang w:val="id-ID"/>
        </w:rPr>
        <w:tab/>
      </w:r>
      <w:r>
        <w:rPr>
          <w:lang w:val="id-ID"/>
        </w:rPr>
        <w:t>:</w:t>
      </w:r>
      <w:r>
        <w:rPr>
          <w:lang w:val="id-ID"/>
        </w:rPr>
        <w:tab/>
      </w:r>
      <w:r>
        <w:rPr>
          <w:lang w:val="id-ID"/>
        </w:rPr>
        <w:t>Isi bab ini adalah proyeksi keuangan meliputi estimasi pendapatan, rencana kebutuhan, serta rencana pendanaan pada periode 2015-2019</w:t>
      </w:r>
      <w:r>
        <w:t>.</w:t>
      </w:r>
    </w:p>
    <w:p>
      <w:pPr>
        <w:pStyle w:val="2"/>
      </w:pPr>
      <w:bookmarkStart w:id="9" w:name="_Toc431267223"/>
      <w:r>
        <w:t>II.GAMBARAN KINERJA SAAT INI</w:t>
      </w:r>
      <w:bookmarkEnd w:id="9"/>
    </w:p>
    <w:p>
      <w:pPr>
        <w:shd w:val="clear" w:color="auto" w:fill="C6D9F1"/>
        <w:spacing w:line="360" w:lineRule="auto"/>
        <w:jc w:val="both"/>
        <w:sectPr>
          <w:type w:val="continuous"/>
          <w:pgSz w:w="16839" w:h="11907" w:orient="landscape"/>
          <w:pgMar w:top="1440" w:right="1440" w:bottom="1440" w:left="1440" w:header="720" w:footer="60" w:gutter="0"/>
          <w:cols w:space="720" w:num="1"/>
          <w:docGrid w:linePitch="360" w:charSpace="0"/>
        </w:sectPr>
      </w:pPr>
    </w:p>
    <w:p>
      <w:pPr>
        <w:pStyle w:val="3"/>
        <w:rPr>
          <w:szCs w:val="24"/>
          <w:lang w:val="id-ID"/>
        </w:rPr>
      </w:pPr>
      <w:bookmarkStart w:id="10" w:name="_Toc431267224"/>
      <w:r>
        <w:rPr>
          <w:szCs w:val="24"/>
        </w:rPr>
        <w:t xml:space="preserve">2.1 </w:t>
      </w:r>
      <w:r>
        <w:rPr>
          <w:szCs w:val="24"/>
          <w:lang w:val="id-ID"/>
        </w:rPr>
        <w:t>Gambaran Kinerja RSHS</w:t>
      </w:r>
      <w:bookmarkEnd w:id="10"/>
    </w:p>
    <w:p>
      <w:pPr>
        <w:rPr>
          <w:b/>
          <w:i/>
          <w:lang w:val="id-ID"/>
        </w:rPr>
        <w:sectPr>
          <w:type w:val="continuous"/>
          <w:pgSz w:w="16839" w:h="11907" w:orient="landscape"/>
          <w:pgMar w:top="1440" w:right="1440" w:bottom="1440" w:left="1440" w:header="720" w:footer="60" w:gutter="0"/>
          <w:cols w:space="720" w:num="1"/>
          <w:docGrid w:linePitch="360" w:charSpace="0"/>
        </w:sectPr>
      </w:pPr>
      <w:r>
        <w:rPr>
          <w:b/>
          <w:i/>
          <w:lang w:val="id-ID"/>
        </w:rPr>
        <w:t xml:space="preserve">2.1.1 </w:t>
      </w:r>
      <w:r>
        <w:rPr>
          <w:b/>
          <w:i/>
        </w:rPr>
        <w:t>Gambaran Kinerja Aspek Pelayanan</w:t>
      </w:r>
    </w:p>
    <w:p>
      <w:pPr>
        <w:spacing w:line="360" w:lineRule="auto"/>
        <w:ind w:firstLine="709"/>
        <w:jc w:val="both"/>
        <w:rPr>
          <w:rFonts w:cs="Arial"/>
          <w:color w:val="000000"/>
          <w:lang w:val="id-ID"/>
        </w:rPr>
      </w:pPr>
      <w:r>
        <w:rPr>
          <w:rFonts w:cs="Arial"/>
          <w:color w:val="000000"/>
        </w:rPr>
        <w:t xml:space="preserve">Berikut ini akan diuraikan mengenai gambaran kinerja aspek pelayanan di </w:t>
      </w:r>
      <w:r>
        <w:t>Rumah Sakit Hasan Sadikin (</w:t>
      </w:r>
      <w:r>
        <w:rPr>
          <w:rFonts w:cs="Arial"/>
          <w:color w:val="000000"/>
        </w:rPr>
        <w:t>RSHS) selama periode lima tahun terakhir, baik dari aspek pertumbuhan produktivitas, efektivitas pelayanan, serta mutu dan manfaat kepada masyarakat.</w:t>
      </w:r>
      <w:r>
        <w:rPr>
          <w:rFonts w:cs="Arial"/>
          <w:color w:val="000000"/>
          <w:lang w:val="id-ID"/>
        </w:rPr>
        <w:t xml:space="preserve"> Tabel 2.1 berisi</w:t>
      </w:r>
      <w:r>
        <w:rPr>
          <w:rFonts w:cs="Arial"/>
          <w:color w:val="000000"/>
        </w:rPr>
        <w:t>kan</w:t>
      </w:r>
      <w:r>
        <w:rPr>
          <w:rFonts w:cs="Arial"/>
          <w:color w:val="000000"/>
          <w:lang w:val="id-ID"/>
        </w:rPr>
        <w:t xml:space="preserve"> data kinerja aspek pelayanan dari tahun 2009 hingga semester I tahun 2014. </w:t>
      </w:r>
    </w:p>
    <w:p>
      <w:pPr>
        <w:pStyle w:val="9"/>
        <w:keepNext/>
        <w:sectPr>
          <w:type w:val="continuous"/>
          <w:pgSz w:w="16839" w:h="11907" w:orient="landscape"/>
          <w:pgMar w:top="1440" w:right="1440" w:bottom="1440" w:left="1440" w:header="720" w:footer="60" w:gutter="0"/>
          <w:cols w:space="720" w:num="1"/>
          <w:docGrid w:linePitch="360" w:charSpace="0"/>
        </w:sectPr>
      </w:pPr>
    </w:p>
    <w:p>
      <w:pPr>
        <w:pStyle w:val="9"/>
        <w:keepNext/>
        <w:rPr>
          <w:lang w:val="id-ID"/>
        </w:rPr>
      </w:pPr>
      <w:bookmarkStart w:id="11" w:name="_Toc430523083"/>
      <w:r>
        <w:t xml:space="preserve">Tabel 2. </w:t>
      </w:r>
      <w:r>
        <w:fldChar w:fldCharType="begin"/>
      </w:r>
      <w:r>
        <w:instrText xml:space="preserve"> SEQ Tabel_2. \* ARABIC </w:instrText>
      </w:r>
      <w:r>
        <w:fldChar w:fldCharType="separate"/>
      </w:r>
      <w:r>
        <w:t>1</w:t>
      </w:r>
      <w:r>
        <w:fldChar w:fldCharType="end"/>
      </w:r>
      <w:r>
        <w:rPr>
          <w:lang w:val="id-ID"/>
        </w:rPr>
        <w:t xml:space="preserve"> Kinerja Aspek Pelayanan tahun 2009-2014</w:t>
      </w:r>
      <w:bookmarkEnd w:id="11"/>
    </w:p>
    <w:tbl>
      <w:tblPr>
        <w:tblStyle w:val="47"/>
        <w:tblW w:w="13066"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4726"/>
        <w:gridCol w:w="1476"/>
        <w:gridCol w:w="1331"/>
        <w:gridCol w:w="1365"/>
        <w:gridCol w:w="1353"/>
        <w:gridCol w:w="1346"/>
        <w:gridCol w:w="1469"/>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shd w:val="clear" w:color="auto" w:fill="ECCF74"/>
          </w:tcPr>
          <w:p>
            <w:pPr>
              <w:spacing w:after="0" w:line="240" w:lineRule="auto"/>
              <w:jc w:val="center"/>
              <w:rPr>
                <w:rFonts w:asciiTheme="minorHAnsi" w:hAnsiTheme="minorHAnsi"/>
                <w:b/>
                <w:lang w:val="id-ID"/>
              </w:rPr>
            </w:pPr>
            <w:r>
              <w:rPr>
                <w:rFonts w:asciiTheme="minorHAnsi" w:hAnsiTheme="minorHAnsi"/>
                <w:b/>
                <w:lang w:val="id-ID"/>
              </w:rPr>
              <w:t>Aspek Pelayanan</w:t>
            </w:r>
          </w:p>
        </w:tc>
        <w:tc>
          <w:tcPr>
            <w:tcW w:w="1476"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2009</w:t>
            </w:r>
          </w:p>
        </w:tc>
        <w:tc>
          <w:tcPr>
            <w:tcW w:w="1331"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2010</w:t>
            </w:r>
          </w:p>
        </w:tc>
        <w:tc>
          <w:tcPr>
            <w:tcW w:w="1365"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2011</w:t>
            </w:r>
          </w:p>
        </w:tc>
        <w:tc>
          <w:tcPr>
            <w:tcW w:w="1353"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2012</w:t>
            </w:r>
          </w:p>
        </w:tc>
        <w:tc>
          <w:tcPr>
            <w:tcW w:w="1346"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2013</w:t>
            </w:r>
          </w:p>
        </w:tc>
        <w:tc>
          <w:tcPr>
            <w:tcW w:w="1469" w:type="dxa"/>
            <w:shd w:val="clear" w:color="auto" w:fill="ECCF74"/>
          </w:tcPr>
          <w:p>
            <w:pPr>
              <w:spacing w:after="0" w:line="240" w:lineRule="auto"/>
              <w:jc w:val="center"/>
              <w:rPr>
                <w:rFonts w:asciiTheme="minorHAnsi" w:hAnsiTheme="minorHAnsi"/>
                <w:b/>
                <w:color w:val="000000"/>
              </w:rPr>
            </w:pPr>
            <w:r>
              <w:rPr>
                <w:rFonts w:asciiTheme="minorHAnsi" w:hAnsiTheme="minorHAnsi"/>
                <w:b/>
                <w:color w:val="000000"/>
              </w:rPr>
              <w:t>Smt1 2014</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Kunjungan rawat jalan</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580.535</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557.346</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551.321</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551.091</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476.337</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251.331</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Pelayanan Rehabilitasi Medik</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42.217</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32.262</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28.524</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30.241</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28.233</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7.416</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Pelayanan Rawat Darurat</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53.255</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45.437</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46.507</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43.348</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43.903</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21.114</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Hari Perawatan</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306.490</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282.821</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26.418</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301.351</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305.196</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149.086</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i/>
                <w:color w:val="000000"/>
              </w:rPr>
              <w:t>Bed Occupancy Rate</w:t>
            </w:r>
            <w:r>
              <w:rPr>
                <w:rFonts w:asciiTheme="minorHAnsi" w:hAnsiTheme="minorHAnsi"/>
                <w:color w:val="000000"/>
              </w:rPr>
              <w:t xml:space="preserve"> (BOR)</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75,70</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71,09</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73,12</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73,25</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83,95</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82,36</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i/>
                <w:color w:val="000000"/>
              </w:rPr>
              <w:t xml:space="preserve">Average Length of Stay </w:t>
            </w:r>
            <w:r>
              <w:rPr>
                <w:rFonts w:asciiTheme="minorHAnsi" w:hAnsiTheme="minorHAnsi"/>
                <w:color w:val="000000"/>
              </w:rPr>
              <w:t>(ALOS)</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6</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7</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6</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4</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5</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7</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i/>
                <w:color w:val="000000"/>
              </w:rPr>
              <w:t>Net Death Rate</w:t>
            </w:r>
            <w:r>
              <w:rPr>
                <w:rFonts w:asciiTheme="minorHAnsi" w:hAnsiTheme="minorHAnsi"/>
                <w:color w:val="000000"/>
              </w:rPr>
              <w:t>(NDR)</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40,10</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47,90</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40,70</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34,00</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39,50</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36.30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Tindakan Operasi</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15.976</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15.051</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16.627</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16.705</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16.670</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7.470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Pemeriksaan Radiologi</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128.701</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119.078</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11.419</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112.646</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111.223</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50.428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Pemeriksaan Patologi Klinik</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1.280.970</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1.294.312</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1.325.811</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1.375.129</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1.393.505</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585.615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Pemeriksaan Patologi Anatomi</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12.754</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12.808</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13.233</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14.294</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15.311</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7.718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53" w:hRule="atLeast"/>
          <w:jc w:val="center"/>
        </w:trPr>
        <w:tc>
          <w:tcPr>
            <w:tcW w:w="4726" w:type="dxa"/>
          </w:tcPr>
          <w:p>
            <w:pPr>
              <w:spacing w:after="0" w:line="240" w:lineRule="auto"/>
              <w:rPr>
                <w:rFonts w:asciiTheme="minorHAnsi" w:hAnsiTheme="minorHAnsi"/>
                <w:color w:val="000000"/>
              </w:rPr>
            </w:pPr>
            <w:r>
              <w:rPr>
                <w:rFonts w:asciiTheme="minorHAnsi" w:hAnsiTheme="minorHAnsi"/>
                <w:color w:val="000000"/>
              </w:rPr>
              <w:t>Jumlah Pelayanan Kedokteran Nuklir</w:t>
            </w:r>
          </w:p>
        </w:tc>
        <w:tc>
          <w:tcPr>
            <w:tcW w:w="1476" w:type="dxa"/>
          </w:tcPr>
          <w:p>
            <w:pPr>
              <w:spacing w:after="0" w:line="240" w:lineRule="auto"/>
              <w:jc w:val="right"/>
              <w:rPr>
                <w:rFonts w:asciiTheme="minorHAnsi" w:hAnsiTheme="minorHAnsi"/>
                <w:color w:val="000000"/>
                <w:szCs w:val="24"/>
              </w:rPr>
            </w:pPr>
            <w:r>
              <w:rPr>
                <w:rFonts w:asciiTheme="minorHAnsi" w:hAnsiTheme="minorHAnsi"/>
                <w:color w:val="000000"/>
                <w:szCs w:val="24"/>
              </w:rPr>
              <w:t>16.131</w:t>
            </w:r>
          </w:p>
        </w:tc>
        <w:tc>
          <w:tcPr>
            <w:tcW w:w="1331" w:type="dxa"/>
          </w:tcPr>
          <w:p>
            <w:pPr>
              <w:spacing w:after="0" w:line="240" w:lineRule="auto"/>
              <w:jc w:val="right"/>
              <w:rPr>
                <w:rFonts w:asciiTheme="minorHAnsi" w:hAnsiTheme="minorHAnsi"/>
                <w:color w:val="000000"/>
                <w:szCs w:val="24"/>
              </w:rPr>
            </w:pPr>
            <w:r>
              <w:rPr>
                <w:rFonts w:asciiTheme="minorHAnsi" w:hAnsiTheme="minorHAnsi"/>
                <w:color w:val="000000"/>
                <w:szCs w:val="24"/>
              </w:rPr>
              <w:t>16.628</w:t>
            </w:r>
          </w:p>
        </w:tc>
        <w:tc>
          <w:tcPr>
            <w:tcW w:w="1365" w:type="dxa"/>
          </w:tcPr>
          <w:p>
            <w:pPr>
              <w:spacing w:after="0" w:line="240" w:lineRule="auto"/>
              <w:jc w:val="right"/>
              <w:rPr>
                <w:rFonts w:asciiTheme="minorHAnsi" w:hAnsiTheme="minorHAnsi"/>
                <w:color w:val="000000"/>
                <w:szCs w:val="24"/>
              </w:rPr>
            </w:pPr>
            <w:r>
              <w:rPr>
                <w:rFonts w:asciiTheme="minorHAnsi" w:hAnsiTheme="minorHAnsi"/>
                <w:color w:val="000000"/>
                <w:szCs w:val="24"/>
              </w:rPr>
              <w:t>18.568</w:t>
            </w:r>
          </w:p>
        </w:tc>
        <w:tc>
          <w:tcPr>
            <w:tcW w:w="1353" w:type="dxa"/>
          </w:tcPr>
          <w:p>
            <w:pPr>
              <w:spacing w:after="0" w:line="240" w:lineRule="auto"/>
              <w:jc w:val="right"/>
              <w:rPr>
                <w:rFonts w:asciiTheme="minorHAnsi" w:hAnsiTheme="minorHAnsi"/>
                <w:color w:val="000000"/>
                <w:szCs w:val="24"/>
              </w:rPr>
            </w:pPr>
            <w:r>
              <w:rPr>
                <w:rFonts w:asciiTheme="minorHAnsi" w:hAnsiTheme="minorHAnsi"/>
                <w:color w:val="000000"/>
                <w:szCs w:val="24"/>
              </w:rPr>
              <w:t>17.592</w:t>
            </w:r>
          </w:p>
        </w:tc>
        <w:tc>
          <w:tcPr>
            <w:tcW w:w="1346" w:type="dxa"/>
          </w:tcPr>
          <w:p>
            <w:pPr>
              <w:spacing w:after="0" w:line="240" w:lineRule="auto"/>
              <w:jc w:val="right"/>
              <w:rPr>
                <w:rFonts w:asciiTheme="minorHAnsi" w:hAnsiTheme="minorHAnsi"/>
                <w:color w:val="000000"/>
                <w:szCs w:val="24"/>
              </w:rPr>
            </w:pPr>
            <w:r>
              <w:rPr>
                <w:rFonts w:asciiTheme="minorHAnsi" w:hAnsiTheme="minorHAnsi"/>
                <w:color w:val="000000"/>
                <w:szCs w:val="24"/>
              </w:rPr>
              <w:t>22.284</w:t>
            </w:r>
          </w:p>
        </w:tc>
        <w:tc>
          <w:tcPr>
            <w:tcW w:w="1469" w:type="dxa"/>
          </w:tcPr>
          <w:p>
            <w:pPr>
              <w:spacing w:after="0" w:line="240" w:lineRule="auto"/>
              <w:jc w:val="right"/>
              <w:rPr>
                <w:rFonts w:asciiTheme="minorHAnsi" w:hAnsiTheme="minorHAnsi"/>
                <w:color w:val="000000"/>
                <w:szCs w:val="24"/>
              </w:rPr>
            </w:pPr>
            <w:r>
              <w:rPr>
                <w:rFonts w:asciiTheme="minorHAnsi" w:hAnsiTheme="minorHAnsi"/>
                <w:color w:val="000000"/>
                <w:szCs w:val="24"/>
              </w:rPr>
              <w:t>10.992</w:t>
            </w:r>
          </w:p>
        </w:tc>
      </w:tr>
    </w:tbl>
    <w:p>
      <w:pPr>
        <w:spacing w:line="360" w:lineRule="auto"/>
        <w:ind w:left="450"/>
        <w:jc w:val="both"/>
        <w:rPr>
          <w:rFonts w:cs="Arial"/>
          <w:color w:val="000000"/>
        </w:rPr>
      </w:pPr>
    </w:p>
    <w:p>
      <w:pPr>
        <w:rPr>
          <w:color w:val="FF0000"/>
        </w:rPr>
      </w:pPr>
    </w:p>
    <w:p>
      <w:pPr>
        <w:pStyle w:val="28"/>
        <w:numPr>
          <w:ilvl w:val="0"/>
          <w:numId w:val="5"/>
        </w:numPr>
        <w:spacing w:after="0" w:line="360" w:lineRule="auto"/>
        <w:ind w:left="284" w:hanging="284"/>
        <w:jc w:val="both"/>
        <w:rPr>
          <w:rFonts w:cs="Arial"/>
          <w:b/>
          <w:color w:val="000000"/>
        </w:rPr>
      </w:pPr>
      <w:r>
        <w:rPr>
          <w:rFonts w:cs="Arial"/>
          <w:b/>
          <w:color w:val="000000"/>
        </w:rPr>
        <w:t>Pelayanan Rawat Jalan</w:t>
      </w:r>
    </w:p>
    <w:p>
      <w:pPr>
        <w:pStyle w:val="28"/>
        <w:spacing w:line="360" w:lineRule="auto"/>
        <w:ind w:left="0" w:firstLine="709"/>
        <w:contextualSpacing w:val="0"/>
        <w:jc w:val="both"/>
        <w:rPr>
          <w:rFonts w:cs="Arial"/>
          <w:color w:val="000000"/>
        </w:rPr>
      </w:pPr>
      <w:r>
        <w:rPr>
          <w:rFonts w:cs="Arial"/>
          <w:color w:val="000000"/>
        </w:rPr>
        <w:t>Seiring dengan penataan rujukan berjenjang, maka kunjungan rawat jalan menunjukkan adanya penurunan periode 2010 sampai dengan tahun 2014, yaitu dari 557.535 kunjungan di tahun 2010 menjadi 519.633 di tahun 2014. Pada tahun 2012 rata-rata kunjungan rawat jalan/hari adalah 2.069 kunjungan, pada tahun 2013 rata-rata kunjungan rawat jalan/hari adalah 2.014 kunjungan, sehingga pertumbuhannya sebesar 0.97 mencapai nilai 1,25. Namun melihat capaian semester I tahun 2014, pertumbuhan rata-rata rawat jalan meningkat lagi dengan pertumbuhan sebesar 1,09 (nilai 1,5).</w:t>
      </w:r>
    </w:p>
    <w:p>
      <w:pPr>
        <w:pStyle w:val="28"/>
        <w:spacing w:after="360" w:line="360" w:lineRule="auto"/>
        <w:ind w:left="0" w:firstLine="709"/>
        <w:jc w:val="both"/>
        <w:rPr>
          <w:rFonts w:cs="Arial"/>
          <w:color w:val="000000"/>
          <w:lang w:val="sv-SE"/>
        </w:rPr>
      </w:pPr>
      <w:r>
        <w:rPr>
          <w:rFonts w:cs="Arial"/>
          <w:color w:val="000000"/>
          <w:lang w:val="sv-SE"/>
        </w:rPr>
        <w:t>Periode 2010 sampai dengan 2013, total kunjungan rawat jalan menunjukan adanya penurunan, hal ini dipengaruhi secara langsung oleh adanya penataan rujukan berjenjang, dimana untuk pelayanan rawat jalan pasien dengan jaminan pembiayaan pemerintah seperti Jamkesmas dan Jamkesda, serta pasien peserta Askes harus membawa rujukan dari PPK tingkat II. Hal tersebut dapat dilihat dari grafik berikut dimana rujukan dari rumah sakit lain ke Instalasi Rawat Jalan RSHS terus meningkat selama lima tahun terakhir dan rujukan dari Puskesmas terus menurun.</w:t>
      </w:r>
    </w:p>
    <w:p>
      <w:pPr>
        <w:spacing w:after="0" w:line="240" w:lineRule="auto"/>
        <w:rPr>
          <w:rFonts w:cs="Arial"/>
          <w:color w:val="000000"/>
          <w:lang w:val="sv-SE"/>
        </w:rPr>
      </w:pPr>
      <w:r>
        <w:rPr>
          <w:rFonts w:cs="Arial"/>
          <w:color w:val="000000"/>
          <w:lang w:val="sv-SE"/>
        </w:rPr>
        <w:br w:type="page"/>
      </w:r>
    </w:p>
    <w:p>
      <w:pPr>
        <w:pStyle w:val="28"/>
        <w:spacing w:after="360" w:line="360" w:lineRule="auto"/>
        <w:ind w:left="0"/>
        <w:jc w:val="center"/>
      </w:pPr>
      <w:r>
        <w:rPr>
          <w:rFonts w:cs="Arial"/>
          <w:color w:val="000000"/>
          <w:sz w:val="22"/>
          <w:lang w:val="id-ID" w:eastAsia="id-ID"/>
        </w:rPr>
        <w:drawing>
          <wp:inline distT="0" distB="0" distL="0" distR="0">
            <wp:extent cx="7644765" cy="1764665"/>
            <wp:effectExtent l="0" t="0" r="0" b="6985"/>
            <wp:docPr id="11" name="Objec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9"/>
        <w:rPr>
          <w:rFonts w:cs="Arial"/>
          <w:color w:val="000000"/>
          <w:szCs w:val="22"/>
          <w:lang w:val="id-ID"/>
        </w:rPr>
      </w:pPr>
      <w:bookmarkStart w:id="12" w:name="_Toc430523209"/>
      <w:r>
        <w:t xml:space="preserve">Gambar 2. </w:t>
      </w:r>
      <w:r>
        <w:fldChar w:fldCharType="begin"/>
      </w:r>
      <w:r>
        <w:instrText xml:space="preserve"> SEQ Gambar_2._ \* ARABIC </w:instrText>
      </w:r>
      <w:r>
        <w:fldChar w:fldCharType="separate"/>
      </w:r>
      <w:r>
        <w:t>1</w:t>
      </w:r>
      <w:r>
        <w:fldChar w:fldCharType="end"/>
      </w:r>
      <w:r>
        <w:t xml:space="preserve">  </w:t>
      </w:r>
      <w:r>
        <w:rPr>
          <w:lang w:val="id-ID"/>
        </w:rPr>
        <w:t>Kunjungan Rawat Jalan Berdasarkan Asal RujukanTahun 2009-2014</w:t>
      </w:r>
      <w:bookmarkEnd w:id="12"/>
    </w:p>
    <w:p>
      <w:pPr>
        <w:pStyle w:val="28"/>
        <w:spacing w:line="360" w:lineRule="auto"/>
        <w:ind w:left="900"/>
        <w:jc w:val="both"/>
        <w:rPr>
          <w:rFonts w:cs="Arial"/>
          <w:color w:val="000000"/>
          <w:lang w:val="sv-SE"/>
        </w:rPr>
        <w:sectPr>
          <w:type w:val="continuous"/>
          <w:pgSz w:w="16839" w:h="11907" w:orient="landscape"/>
          <w:pgMar w:top="1440" w:right="1440" w:bottom="1440" w:left="1440" w:header="720" w:footer="60" w:gutter="0"/>
          <w:cols w:space="720" w:num="1"/>
          <w:docGrid w:linePitch="360" w:charSpace="0"/>
        </w:sectPr>
      </w:pPr>
    </w:p>
    <w:p>
      <w:pPr>
        <w:pStyle w:val="28"/>
        <w:spacing w:line="360" w:lineRule="auto"/>
        <w:ind w:left="0" w:firstLine="709"/>
        <w:jc w:val="both"/>
        <w:rPr>
          <w:rFonts w:cs="Arial"/>
          <w:color w:val="000000"/>
          <w:lang w:val="sv-SE"/>
        </w:rPr>
      </w:pPr>
      <w:r>
        <w:rPr>
          <w:rFonts w:cs="Arial"/>
          <w:color w:val="000000"/>
          <w:lang w:val="sv-SE"/>
        </w:rPr>
        <w:t>Di satu sisi hal tersebut berpengaruh terhadap penurunan produktivitas kunjungan rawat jalan RSHS, namun di sisi lain merupakan peluang RSHS khususnya untuk penataan pelayanan rawat jalan. Selama ini, RSHS menerima tingginya kunjungan pasien rawat jalan dengan kasus-kasus yang sebenarnya masih dapat dilayani di PPK I dan II, dengan rujukan berjenjang maka RSHS dapat lebih mengembangkan pelayanan untuk kasus dengan tingkat keparahan yang lebih tinggi.</w:t>
      </w:r>
    </w:p>
    <w:p>
      <w:pPr>
        <w:spacing w:line="360" w:lineRule="auto"/>
        <w:ind w:firstLine="709"/>
        <w:jc w:val="both"/>
      </w:pPr>
      <w:r>
        <w:rPr>
          <w:rFonts w:cs="Arial"/>
          <w:color w:val="000000"/>
          <w:lang w:val="sv-SE"/>
        </w:rPr>
        <w:t xml:space="preserve">Namun dengan mulai dilaksanakannya pelayanan Jaminan Kesehatan Nasional (JKN) tanggal 1 Januari 2014, pertumbuhan rata-rata kunjungan rawat jalan meningkat lagi. </w:t>
      </w:r>
      <w:r>
        <w:rPr>
          <w:color w:val="000000"/>
          <w:lang w:val="sv-SE"/>
        </w:rPr>
        <w:t xml:space="preserve">Penataan pelayanan rujukan terus ditingkatkan pada era JKN ini namun peningkatan kunjungan rawat jalan di RSHS ini kemungkinan disebabkan kecenderungan untuk terus merujuk pasien dari PPK I dan PPK II ke RSHS. </w:t>
      </w:r>
      <w:r>
        <w:rPr>
          <w:color w:val="000000"/>
        </w:rPr>
        <w:t>Sebagian PPK I dan II belum disiapkan dengan baik untuk melayani pasien JKN dengan jumlah yang meningkat dibandingkan dengan pasien umum. Hal ini tampak pada sepuluh diagnosa terbanyak pada pasien rawat jalan (Tabel 2.2).</w:t>
      </w:r>
    </w:p>
    <w:p>
      <w:pPr>
        <w:pStyle w:val="9"/>
        <w:keepNext/>
      </w:pPr>
    </w:p>
    <w:p>
      <w:pPr>
        <w:pStyle w:val="9"/>
        <w:keepNext/>
        <w:rPr>
          <w:lang w:val="id-ID"/>
        </w:rPr>
      </w:pPr>
      <w:bookmarkStart w:id="13" w:name="_Toc430523084"/>
      <w:r>
        <w:t>Tabel 2.</w:t>
      </w:r>
      <w:r>
        <w:fldChar w:fldCharType="begin"/>
      </w:r>
      <w:r>
        <w:instrText xml:space="preserve"> SEQ Tabel_2. \* ARABIC </w:instrText>
      </w:r>
      <w:r>
        <w:fldChar w:fldCharType="separate"/>
      </w:r>
      <w:r>
        <w:t>2</w:t>
      </w:r>
      <w:r>
        <w:fldChar w:fldCharType="end"/>
      </w:r>
      <w:r>
        <w:t xml:space="preserve"> Sepuluh Penyakit Terbanyak Semester I tahun 2014</w:t>
      </w:r>
      <w:bookmarkEnd w:id="13"/>
    </w:p>
    <w:p>
      <w:pPr>
        <w:keepNext/>
        <w:spacing w:after="0" w:line="240" w:lineRule="auto"/>
        <w:jc w:val="center"/>
        <w:rPr>
          <w:rFonts w:cs="Calibri"/>
          <w:b/>
          <w:bCs/>
          <w:color w:val="000000"/>
          <w:kern w:val="24"/>
          <w:lang w:val="id-ID"/>
        </w:rPr>
        <w:sectPr>
          <w:type w:val="continuous"/>
          <w:pgSz w:w="16839" w:h="11907" w:orient="landscape"/>
          <w:pgMar w:top="1440" w:right="1440" w:bottom="1440" w:left="1440" w:header="720" w:footer="60" w:gutter="0"/>
          <w:cols w:space="720" w:num="1"/>
          <w:docGrid w:linePitch="360" w:charSpace="0"/>
        </w:sectPr>
      </w:pPr>
    </w:p>
    <w:tbl>
      <w:tblPr>
        <w:tblStyle w:val="26"/>
        <w:tblW w:w="6630" w:type="dxa"/>
        <w:jc w:val="center"/>
        <w:tblInd w:w="0" w:type="dxa"/>
        <w:tblLayout w:type="fixed"/>
        <w:tblCellMar>
          <w:top w:w="0" w:type="dxa"/>
          <w:left w:w="0" w:type="dxa"/>
          <w:bottom w:w="0" w:type="dxa"/>
          <w:right w:w="0" w:type="dxa"/>
        </w:tblCellMar>
      </w:tblPr>
      <w:tblGrid>
        <w:gridCol w:w="778"/>
        <w:gridCol w:w="1111"/>
        <w:gridCol w:w="3743"/>
        <w:gridCol w:w="998"/>
      </w:tblGrid>
      <w:tr>
        <w:tblPrEx>
          <w:tblLayout w:type="fixed"/>
          <w:tblCellMar>
            <w:top w:w="0" w:type="dxa"/>
            <w:left w:w="0" w:type="dxa"/>
            <w:bottom w:w="0" w:type="dxa"/>
            <w:right w:w="0" w:type="dxa"/>
          </w:tblCellMar>
        </w:tblPrEx>
        <w:trPr>
          <w:trHeight w:val="184" w:hRule="atLeast"/>
          <w:tblHeader/>
          <w:jc w:val="center"/>
        </w:trPr>
        <w:tc>
          <w:tcPr>
            <w:tcW w:w="778" w:type="dxa"/>
            <w:tcBorders>
              <w:top w:val="single" w:color="259073" w:themeColor="accent2" w:sz="4" w:space="0"/>
              <w:left w:val="single" w:color="259073" w:themeColor="accent2" w:sz="4" w:space="0"/>
              <w:bottom w:val="single" w:color="259073" w:themeColor="accent2" w:sz="8" w:space="0"/>
              <w:right w:val="single" w:color="259073" w:themeColor="accent2" w:sz="4" w:space="0"/>
            </w:tcBorders>
            <w:shd w:val="clear" w:color="auto" w:fill="auto"/>
            <w:tcMar>
              <w:top w:w="72" w:type="dxa"/>
              <w:left w:w="144" w:type="dxa"/>
              <w:bottom w:w="72" w:type="dxa"/>
              <w:right w:w="144" w:type="dxa"/>
            </w:tcMar>
          </w:tcPr>
          <w:p>
            <w:pPr>
              <w:keepNext/>
              <w:spacing w:after="0" w:line="240" w:lineRule="auto"/>
              <w:jc w:val="center"/>
            </w:pPr>
            <w:r>
              <w:rPr>
                <w:rFonts w:cs="Calibri"/>
                <w:b/>
                <w:bCs/>
                <w:color w:val="000000"/>
                <w:kern w:val="24"/>
                <w:lang w:val="id-ID"/>
              </w:rPr>
              <w:t>No</w:t>
            </w:r>
          </w:p>
        </w:tc>
        <w:tc>
          <w:tcPr>
            <w:tcW w:w="1111" w:type="dxa"/>
            <w:tcBorders>
              <w:top w:val="single" w:color="259073" w:themeColor="accent2" w:sz="4" w:space="0"/>
              <w:left w:val="single" w:color="259073" w:themeColor="accent2" w:sz="4" w:space="0"/>
              <w:bottom w:val="single" w:color="259073" w:themeColor="accent2" w:sz="8" w:space="0"/>
              <w:right w:val="single" w:color="259073" w:themeColor="accent2" w:sz="4" w:space="0"/>
            </w:tcBorders>
            <w:shd w:val="clear" w:color="auto" w:fill="auto"/>
            <w:tcMar>
              <w:top w:w="72" w:type="dxa"/>
              <w:left w:w="144" w:type="dxa"/>
              <w:bottom w:w="72" w:type="dxa"/>
              <w:right w:w="144" w:type="dxa"/>
            </w:tcMar>
          </w:tcPr>
          <w:p>
            <w:pPr>
              <w:keepNext/>
              <w:spacing w:after="0" w:line="240" w:lineRule="auto"/>
              <w:jc w:val="center"/>
            </w:pPr>
            <w:r>
              <w:rPr>
                <w:rFonts w:cs="Calibri"/>
                <w:b/>
                <w:bCs/>
                <w:color w:val="000000"/>
                <w:kern w:val="24"/>
                <w:lang w:val="id-ID"/>
              </w:rPr>
              <w:t>ICD X</w:t>
            </w:r>
          </w:p>
        </w:tc>
        <w:tc>
          <w:tcPr>
            <w:tcW w:w="3743" w:type="dxa"/>
            <w:tcBorders>
              <w:top w:val="single" w:color="259073" w:themeColor="accent2" w:sz="4" w:space="0"/>
              <w:left w:val="single" w:color="259073" w:themeColor="accent2" w:sz="4" w:space="0"/>
              <w:bottom w:val="single" w:color="259073" w:themeColor="accent2" w:sz="8" w:space="0"/>
              <w:right w:val="single" w:color="259073" w:themeColor="accent2" w:sz="4" w:space="0"/>
            </w:tcBorders>
            <w:shd w:val="clear" w:color="auto" w:fill="auto"/>
            <w:tcMar>
              <w:top w:w="72" w:type="dxa"/>
              <w:left w:w="144" w:type="dxa"/>
              <w:bottom w:w="72" w:type="dxa"/>
              <w:right w:w="144" w:type="dxa"/>
            </w:tcMar>
          </w:tcPr>
          <w:p>
            <w:pPr>
              <w:keepNext/>
              <w:spacing w:after="0" w:line="240" w:lineRule="auto"/>
              <w:jc w:val="center"/>
            </w:pPr>
            <w:r>
              <w:rPr>
                <w:rFonts w:cs="Calibri"/>
                <w:b/>
                <w:bCs/>
                <w:color w:val="000000"/>
                <w:kern w:val="24"/>
                <w:lang w:val="id-ID"/>
              </w:rPr>
              <w:t>Diagnosa</w:t>
            </w:r>
          </w:p>
        </w:tc>
        <w:tc>
          <w:tcPr>
            <w:tcW w:w="998" w:type="dxa"/>
            <w:tcBorders>
              <w:top w:val="single" w:color="259073" w:themeColor="accent2" w:sz="4" w:space="0"/>
              <w:left w:val="single" w:color="259073" w:themeColor="accent2" w:sz="4" w:space="0"/>
              <w:bottom w:val="single" w:color="259073" w:themeColor="accent2" w:sz="8" w:space="0"/>
              <w:right w:val="single" w:color="259073" w:themeColor="accent2" w:sz="4" w:space="0"/>
            </w:tcBorders>
            <w:shd w:val="clear" w:color="auto" w:fill="auto"/>
            <w:tcMar>
              <w:top w:w="72" w:type="dxa"/>
              <w:left w:w="144" w:type="dxa"/>
              <w:bottom w:w="72" w:type="dxa"/>
              <w:right w:w="144" w:type="dxa"/>
            </w:tcMar>
          </w:tcPr>
          <w:p>
            <w:pPr>
              <w:keepNext/>
              <w:spacing w:after="0" w:line="240" w:lineRule="auto"/>
              <w:jc w:val="center"/>
            </w:pPr>
            <w:r>
              <w:rPr>
                <w:rFonts w:cs="Calibri"/>
                <w:b/>
                <w:bCs/>
                <w:color w:val="000000"/>
                <w:kern w:val="24"/>
                <w:lang w:val="id-ID"/>
              </w:rPr>
              <w:t>Jumlah</w:t>
            </w:r>
          </w:p>
        </w:tc>
      </w:tr>
      <w:tr>
        <w:tblPrEx>
          <w:tblLayout w:type="fixed"/>
          <w:tblCellMar>
            <w:top w:w="0" w:type="dxa"/>
            <w:left w:w="0" w:type="dxa"/>
            <w:bottom w:w="0" w:type="dxa"/>
            <w:right w:w="0" w:type="dxa"/>
          </w:tblCellMar>
        </w:tblPrEx>
        <w:trPr>
          <w:trHeight w:val="25" w:hRule="atLeast"/>
          <w:jc w:val="center"/>
        </w:trPr>
        <w:tc>
          <w:tcPr>
            <w:tcW w:w="778" w:type="dxa"/>
            <w:tcBorders>
              <w:top w:val="single" w:color="259073" w:themeColor="accent2" w:sz="8"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pPr>
            <w:r>
              <w:rPr>
                <w:rFonts w:cs="Calibri"/>
                <w:color w:val="000000"/>
                <w:kern w:val="24"/>
                <w:lang w:val="id-ID"/>
              </w:rPr>
              <w:t>1</w:t>
            </w:r>
          </w:p>
        </w:tc>
        <w:tc>
          <w:tcPr>
            <w:tcW w:w="1111" w:type="dxa"/>
            <w:tcBorders>
              <w:top w:val="single" w:color="259073" w:themeColor="accent2" w:sz="8" w:space="0"/>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pPr>
            <w:r>
              <w:t>Z.51.1</w:t>
            </w:r>
          </w:p>
        </w:tc>
        <w:tc>
          <w:tcPr>
            <w:tcW w:w="3743" w:type="dxa"/>
            <w:tcBorders>
              <w:top w:val="single" w:color="259073" w:themeColor="accent2" w:sz="8"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i/>
              </w:rPr>
            </w:pPr>
            <w:r>
              <w:rPr>
                <w:rFonts w:cs="Calibri"/>
                <w:i/>
                <w:color w:val="000000"/>
                <w:kern w:val="24"/>
              </w:rPr>
              <w:t>Chemoterapy session for  neoplasm</w:t>
            </w:r>
          </w:p>
        </w:tc>
        <w:tc>
          <w:tcPr>
            <w:tcW w:w="998" w:type="dxa"/>
            <w:tcBorders>
              <w:top w:val="single" w:color="259073" w:themeColor="accent2" w:sz="8"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pPr>
            <w:r>
              <w:rPr>
                <w:rFonts w:cs="Calibri"/>
                <w:color w:val="000000"/>
                <w:kern w:val="24"/>
              </w:rPr>
              <w:t>37</w:t>
            </w:r>
            <w:r>
              <w:rPr>
                <w:rFonts w:cs="Calibri"/>
                <w:color w:val="000000"/>
                <w:kern w:val="24"/>
                <w:lang w:val="id-ID"/>
              </w:rPr>
              <w:t>47</w:t>
            </w:r>
          </w:p>
        </w:tc>
      </w:tr>
      <w:tr>
        <w:tblPrEx>
          <w:tblLayout w:type="fixed"/>
          <w:tblCellMar>
            <w:top w:w="0" w:type="dxa"/>
            <w:left w:w="0" w:type="dxa"/>
            <w:bottom w:w="0" w:type="dxa"/>
            <w:right w:w="0" w:type="dxa"/>
          </w:tblCellMar>
        </w:tblPrEx>
        <w:trPr>
          <w:trHeight w:val="17"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2</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pPr>
            <w:r>
              <w:rPr>
                <w:rFonts w:cs="Calibri"/>
                <w:color w:val="000000"/>
                <w:kern w:val="24"/>
                <w:lang w:val="id-ID"/>
              </w:rPr>
              <w:t>I10</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i/>
              </w:rPr>
            </w:pPr>
            <w:r>
              <w:rPr>
                <w:rFonts w:cs="Calibri"/>
                <w:i/>
                <w:color w:val="000000"/>
                <w:kern w:val="24"/>
                <w:lang w:val="id-ID"/>
              </w:rPr>
              <w:t>Essential (primary) hypertension</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pPr>
            <w:r>
              <w:rPr>
                <w:rFonts w:cs="Calibri"/>
                <w:color w:val="000000"/>
                <w:kern w:val="24"/>
              </w:rPr>
              <w:t>1245</w:t>
            </w:r>
          </w:p>
        </w:tc>
      </w:tr>
      <w:tr>
        <w:tblPrEx>
          <w:tblLayout w:type="fixed"/>
          <w:tblCellMar>
            <w:top w:w="0" w:type="dxa"/>
            <w:left w:w="0" w:type="dxa"/>
            <w:bottom w:w="0" w:type="dxa"/>
            <w:right w:w="0" w:type="dxa"/>
          </w:tblCellMar>
        </w:tblPrEx>
        <w:trPr>
          <w:trHeight w:val="189"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3</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pPr>
            <w:r>
              <w:rPr>
                <w:rFonts w:cs="Calibri"/>
                <w:color w:val="000000"/>
                <w:kern w:val="24"/>
                <w:lang w:val="id-ID"/>
              </w:rPr>
              <w:t>C50.9</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i/>
              </w:rPr>
            </w:pPr>
            <w:r>
              <w:rPr>
                <w:rFonts w:cs="Calibri"/>
                <w:i/>
                <w:color w:val="000000"/>
                <w:kern w:val="24"/>
                <w:lang w:val="id-ID"/>
              </w:rPr>
              <w:t>Malignant neoplasm of breast</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pPr>
            <w:r>
              <w:rPr>
                <w:rFonts w:cs="Calibri"/>
                <w:color w:val="000000"/>
                <w:kern w:val="24"/>
              </w:rPr>
              <w:t>1007</w:t>
            </w:r>
          </w:p>
        </w:tc>
      </w:tr>
      <w:tr>
        <w:tblPrEx>
          <w:tblLayout w:type="fixed"/>
          <w:tblCellMar>
            <w:top w:w="0" w:type="dxa"/>
            <w:left w:w="0" w:type="dxa"/>
            <w:bottom w:w="0" w:type="dxa"/>
            <w:right w:w="0" w:type="dxa"/>
          </w:tblCellMar>
        </w:tblPrEx>
        <w:trPr>
          <w:trHeight w:val="189"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4</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rPr>
                <w:rFonts w:cs="Calibri"/>
                <w:color w:val="000000"/>
                <w:kern w:val="24"/>
              </w:rPr>
            </w:pPr>
            <w:r>
              <w:rPr>
                <w:rFonts w:cs="Calibri"/>
                <w:color w:val="000000"/>
                <w:kern w:val="24"/>
              </w:rPr>
              <w:t>Z.37.0</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rFonts w:cs="Calibri"/>
                <w:i/>
                <w:color w:val="000000"/>
                <w:kern w:val="24"/>
              </w:rPr>
            </w:pPr>
            <w:r>
              <w:rPr>
                <w:rFonts w:cs="Calibri"/>
                <w:i/>
                <w:color w:val="000000"/>
                <w:kern w:val="24"/>
              </w:rPr>
              <w:t>Single Live Birth</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870</w:t>
            </w:r>
          </w:p>
        </w:tc>
      </w:tr>
      <w:tr>
        <w:tblPrEx>
          <w:tblLayout w:type="fixed"/>
          <w:tblCellMar>
            <w:top w:w="0" w:type="dxa"/>
            <w:left w:w="0" w:type="dxa"/>
            <w:bottom w:w="0" w:type="dxa"/>
            <w:right w:w="0" w:type="dxa"/>
          </w:tblCellMar>
        </w:tblPrEx>
        <w:trPr>
          <w:trHeight w:val="271" w:hRule="atLeast"/>
          <w:jc w:val="center"/>
        </w:trPr>
        <w:tc>
          <w:tcPr>
            <w:tcW w:w="778"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5</w:t>
            </w:r>
          </w:p>
        </w:tc>
        <w:tc>
          <w:tcPr>
            <w:tcW w:w="1111" w:type="dxa"/>
            <w:tcBorders>
              <w:left w:val="single" w:color="259073" w:themeColor="accent2" w:sz="4" w:space="0"/>
              <w:bottom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rPr>
                <w:rFonts w:cs="Calibri"/>
                <w:color w:val="000000"/>
                <w:kern w:val="24"/>
              </w:rPr>
            </w:pPr>
            <w:r>
              <w:rPr>
                <w:rFonts w:cs="Calibri"/>
                <w:color w:val="000000"/>
                <w:kern w:val="24"/>
              </w:rPr>
              <w:t>D.63.0</w:t>
            </w:r>
          </w:p>
        </w:tc>
        <w:tc>
          <w:tcPr>
            <w:tcW w:w="3743"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rFonts w:cs="Calibri"/>
                <w:i/>
                <w:color w:val="000000"/>
                <w:kern w:val="24"/>
              </w:rPr>
            </w:pPr>
            <w:r>
              <w:rPr>
                <w:rFonts w:cs="Calibri"/>
                <w:i/>
                <w:color w:val="000000"/>
                <w:kern w:val="24"/>
              </w:rPr>
              <w:t>Anemia in neoplastic diseases</w:t>
            </w:r>
          </w:p>
        </w:tc>
        <w:tc>
          <w:tcPr>
            <w:tcW w:w="998"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805</w:t>
            </w:r>
          </w:p>
        </w:tc>
      </w:tr>
      <w:tr>
        <w:tblPrEx>
          <w:tblLayout w:type="fixed"/>
          <w:tblCellMar>
            <w:top w:w="0" w:type="dxa"/>
            <w:left w:w="0" w:type="dxa"/>
            <w:bottom w:w="0" w:type="dxa"/>
            <w:right w:w="0" w:type="dxa"/>
          </w:tblCellMar>
        </w:tblPrEx>
        <w:trPr>
          <w:trHeight w:val="189" w:hRule="atLeast"/>
          <w:jc w:val="center"/>
        </w:trPr>
        <w:tc>
          <w:tcPr>
            <w:tcW w:w="778" w:type="dxa"/>
            <w:tcBorders>
              <w:top w:val="single" w:color="259073" w:themeColor="accent2" w:sz="4"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6</w:t>
            </w:r>
          </w:p>
        </w:tc>
        <w:tc>
          <w:tcPr>
            <w:tcW w:w="1111" w:type="dxa"/>
            <w:tcBorders>
              <w:top w:val="single" w:color="259073" w:themeColor="accent2" w:sz="4" w:space="0"/>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pPr>
            <w:r>
              <w:rPr>
                <w:rFonts w:cs="Calibri"/>
                <w:color w:val="000000"/>
                <w:kern w:val="24"/>
                <w:lang w:val="id-ID"/>
              </w:rPr>
              <w:t>I25.1</w:t>
            </w:r>
          </w:p>
        </w:tc>
        <w:tc>
          <w:tcPr>
            <w:tcW w:w="3743" w:type="dxa"/>
            <w:tcBorders>
              <w:top w:val="single" w:color="259073" w:themeColor="accent2" w:sz="4"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i/>
              </w:rPr>
            </w:pPr>
            <w:r>
              <w:rPr>
                <w:rFonts w:cs="Calibri"/>
                <w:i/>
                <w:color w:val="000000"/>
                <w:kern w:val="24"/>
                <w:lang w:val="id-ID"/>
              </w:rPr>
              <w:t>Atherosclerotic heart disease</w:t>
            </w:r>
          </w:p>
        </w:tc>
        <w:tc>
          <w:tcPr>
            <w:tcW w:w="998" w:type="dxa"/>
            <w:tcBorders>
              <w:top w:val="single" w:color="259073" w:themeColor="accent2" w:sz="4" w:space="0"/>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771</w:t>
            </w:r>
          </w:p>
        </w:tc>
      </w:tr>
      <w:tr>
        <w:tblPrEx>
          <w:tblLayout w:type="fixed"/>
          <w:tblCellMar>
            <w:top w:w="0" w:type="dxa"/>
            <w:left w:w="0" w:type="dxa"/>
            <w:bottom w:w="0" w:type="dxa"/>
            <w:right w:w="0" w:type="dxa"/>
          </w:tblCellMar>
        </w:tblPrEx>
        <w:trPr>
          <w:trHeight w:val="189"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7</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pPr>
            <w:r>
              <w:rPr>
                <w:rFonts w:cs="Calibri"/>
                <w:color w:val="000000"/>
                <w:kern w:val="24"/>
                <w:lang w:val="id-ID"/>
              </w:rPr>
              <w:t>C53.9</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i/>
              </w:rPr>
            </w:pPr>
            <w:r>
              <w:rPr>
                <w:rFonts w:cs="Calibri"/>
                <w:i/>
                <w:color w:val="000000"/>
                <w:kern w:val="24"/>
              </w:rPr>
              <w:t xml:space="preserve">Malignant neoplasm of </w:t>
            </w:r>
            <w:r>
              <w:rPr>
                <w:rFonts w:cs="Calibri"/>
                <w:i/>
                <w:color w:val="000000"/>
                <w:kern w:val="24"/>
                <w:lang w:val="id-ID"/>
              </w:rPr>
              <w:t>c</w:t>
            </w:r>
            <w:r>
              <w:rPr>
                <w:rFonts w:cs="Calibri"/>
                <w:i/>
                <w:color w:val="000000"/>
                <w:kern w:val="24"/>
              </w:rPr>
              <w:t>ervix uteri</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769</w:t>
            </w:r>
          </w:p>
        </w:tc>
      </w:tr>
      <w:tr>
        <w:tblPrEx>
          <w:tblLayout w:type="fixed"/>
          <w:tblCellMar>
            <w:top w:w="0" w:type="dxa"/>
            <w:left w:w="0" w:type="dxa"/>
            <w:bottom w:w="0" w:type="dxa"/>
            <w:right w:w="0" w:type="dxa"/>
          </w:tblCellMar>
        </w:tblPrEx>
        <w:trPr>
          <w:trHeight w:val="189"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8</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rPr>
                <w:rFonts w:cs="Calibri"/>
                <w:color w:val="000000"/>
                <w:kern w:val="24"/>
              </w:rPr>
            </w:pPr>
            <w:r>
              <w:rPr>
                <w:rFonts w:cs="Calibri"/>
                <w:color w:val="000000"/>
                <w:kern w:val="24"/>
              </w:rPr>
              <w:t>Z.51.0</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rFonts w:cs="Calibri"/>
                <w:i/>
                <w:color w:val="000000"/>
                <w:kern w:val="24"/>
              </w:rPr>
            </w:pPr>
            <w:r>
              <w:rPr>
                <w:rFonts w:cs="Calibri"/>
                <w:i/>
                <w:color w:val="000000"/>
                <w:kern w:val="24"/>
              </w:rPr>
              <w:t>Radiotherapy session</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505</w:t>
            </w:r>
          </w:p>
        </w:tc>
      </w:tr>
      <w:tr>
        <w:tblPrEx>
          <w:tblLayout w:type="fixed"/>
          <w:tblCellMar>
            <w:top w:w="0" w:type="dxa"/>
            <w:left w:w="0" w:type="dxa"/>
            <w:bottom w:w="0" w:type="dxa"/>
            <w:right w:w="0" w:type="dxa"/>
          </w:tblCellMar>
        </w:tblPrEx>
        <w:trPr>
          <w:trHeight w:val="189" w:hRule="atLeast"/>
          <w:jc w:val="center"/>
        </w:trPr>
        <w:tc>
          <w:tcPr>
            <w:tcW w:w="77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p>
          <w:p>
            <w:pPr>
              <w:spacing w:after="0" w:line="240" w:lineRule="auto"/>
              <w:jc w:val="center"/>
              <w:rPr>
                <w:rFonts w:cs="Calibri"/>
                <w:color w:val="000000"/>
                <w:kern w:val="24"/>
              </w:rPr>
            </w:pPr>
            <w:r>
              <w:rPr>
                <w:rFonts w:cs="Calibri"/>
                <w:color w:val="000000"/>
                <w:kern w:val="24"/>
              </w:rPr>
              <w:t>9</w:t>
            </w:r>
          </w:p>
        </w:tc>
        <w:tc>
          <w:tcPr>
            <w:tcW w:w="1111" w:type="dxa"/>
            <w:tcBorders>
              <w:left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rPr>
                <w:rFonts w:cs="Calibri"/>
                <w:color w:val="000000"/>
                <w:kern w:val="24"/>
              </w:rPr>
            </w:pPr>
            <w:r>
              <w:rPr>
                <w:rFonts w:cs="Calibri"/>
                <w:color w:val="000000"/>
                <w:kern w:val="24"/>
              </w:rPr>
              <w:t>C.85.9</w:t>
            </w:r>
          </w:p>
        </w:tc>
        <w:tc>
          <w:tcPr>
            <w:tcW w:w="3743"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rFonts w:cs="Calibri"/>
                <w:i/>
                <w:color w:val="000000"/>
                <w:kern w:val="24"/>
              </w:rPr>
            </w:pPr>
            <w:r>
              <w:rPr>
                <w:rFonts w:cs="Calibri"/>
                <w:i/>
                <w:color w:val="000000"/>
                <w:kern w:val="24"/>
              </w:rPr>
              <w:t>Non-Hodgkin’s Lymphoma,unspecified type</w:t>
            </w:r>
          </w:p>
        </w:tc>
        <w:tc>
          <w:tcPr>
            <w:tcW w:w="998" w:type="dxa"/>
            <w:tcBorders>
              <w:left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504</w:t>
            </w:r>
          </w:p>
        </w:tc>
      </w:tr>
      <w:tr>
        <w:tblPrEx>
          <w:tblLayout w:type="fixed"/>
          <w:tblCellMar>
            <w:top w:w="0" w:type="dxa"/>
            <w:left w:w="0" w:type="dxa"/>
            <w:bottom w:w="0" w:type="dxa"/>
            <w:right w:w="0" w:type="dxa"/>
          </w:tblCellMar>
        </w:tblPrEx>
        <w:trPr>
          <w:trHeight w:val="133" w:hRule="atLeast"/>
          <w:jc w:val="center"/>
        </w:trPr>
        <w:tc>
          <w:tcPr>
            <w:tcW w:w="778"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tcPr>
          <w:p>
            <w:pPr>
              <w:spacing w:after="0" w:line="240" w:lineRule="auto"/>
              <w:jc w:val="center"/>
              <w:rPr>
                <w:rFonts w:cs="Calibri"/>
                <w:color w:val="000000"/>
                <w:kern w:val="24"/>
              </w:rPr>
            </w:pPr>
            <w:r>
              <w:rPr>
                <w:rFonts w:cs="Calibri"/>
                <w:color w:val="000000"/>
                <w:kern w:val="24"/>
              </w:rPr>
              <w:t>10</w:t>
            </w:r>
          </w:p>
        </w:tc>
        <w:tc>
          <w:tcPr>
            <w:tcW w:w="1111" w:type="dxa"/>
            <w:tcBorders>
              <w:left w:val="single" w:color="259073" w:themeColor="accent2" w:sz="4" w:space="0"/>
              <w:bottom w:val="single" w:color="259073" w:themeColor="accent2" w:sz="4" w:space="0"/>
              <w:right w:val="single" w:color="259073" w:themeColor="accent2" w:sz="4" w:space="0"/>
            </w:tcBorders>
            <w:shd w:val="clear" w:color="auto" w:fill="ECCF74"/>
            <w:tcMar>
              <w:top w:w="15" w:type="dxa"/>
              <w:left w:w="15" w:type="dxa"/>
              <w:bottom w:w="0" w:type="dxa"/>
              <w:right w:w="15" w:type="dxa"/>
            </w:tcMar>
            <w:vAlign w:val="bottom"/>
          </w:tcPr>
          <w:p>
            <w:pPr>
              <w:spacing w:after="0" w:line="240" w:lineRule="auto"/>
              <w:jc w:val="center"/>
              <w:textAlignment w:val="bottom"/>
              <w:rPr>
                <w:rFonts w:cs="Calibri"/>
                <w:color w:val="000000"/>
                <w:kern w:val="24"/>
              </w:rPr>
            </w:pPr>
            <w:r>
              <w:rPr>
                <w:rFonts w:cs="Calibri"/>
                <w:color w:val="000000"/>
                <w:kern w:val="24"/>
              </w:rPr>
              <w:t>C.91.0</w:t>
            </w:r>
          </w:p>
        </w:tc>
        <w:tc>
          <w:tcPr>
            <w:tcW w:w="3743"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textAlignment w:val="bottom"/>
              <w:rPr>
                <w:rFonts w:cs="Calibri"/>
                <w:i/>
                <w:color w:val="000000"/>
                <w:kern w:val="24"/>
              </w:rPr>
            </w:pPr>
            <w:r>
              <w:rPr>
                <w:rFonts w:cs="Calibri"/>
                <w:i/>
                <w:color w:val="000000"/>
                <w:kern w:val="24"/>
              </w:rPr>
              <w:t>Accute lymphoblastic leukaemia</w:t>
            </w:r>
          </w:p>
        </w:tc>
        <w:tc>
          <w:tcPr>
            <w:tcW w:w="998" w:type="dxa"/>
            <w:tcBorders>
              <w:left w:val="single" w:color="259073" w:themeColor="accent2" w:sz="4" w:space="0"/>
              <w:bottom w:val="single" w:color="259073" w:themeColor="accent2" w:sz="4" w:space="0"/>
              <w:right w:val="single" w:color="259073" w:themeColor="accent2" w:sz="4" w:space="0"/>
            </w:tcBorders>
            <w:shd w:val="clear" w:color="auto" w:fill="ECCF74"/>
            <w:tcMar>
              <w:top w:w="72" w:type="dxa"/>
              <w:left w:w="144" w:type="dxa"/>
              <w:bottom w:w="72" w:type="dxa"/>
              <w:right w:w="144" w:type="dxa"/>
            </w:tcMar>
            <w:vAlign w:val="bottom"/>
          </w:tcPr>
          <w:p>
            <w:pPr>
              <w:spacing w:after="0" w:line="240" w:lineRule="auto"/>
              <w:jc w:val="center"/>
              <w:textAlignment w:val="bottom"/>
              <w:rPr>
                <w:rFonts w:cs="Calibri"/>
                <w:color w:val="000000"/>
                <w:kern w:val="24"/>
              </w:rPr>
            </w:pPr>
            <w:r>
              <w:rPr>
                <w:rFonts w:cs="Calibri"/>
                <w:color w:val="000000"/>
                <w:kern w:val="24"/>
              </w:rPr>
              <w:t>475</w:t>
            </w:r>
          </w:p>
        </w:tc>
      </w:tr>
    </w:tbl>
    <w:p>
      <w:pPr>
        <w:spacing w:line="360" w:lineRule="auto"/>
        <w:jc w:val="both"/>
        <w:rPr>
          <w:b/>
          <w:color w:val="000000"/>
        </w:rPr>
        <w:sectPr>
          <w:type w:val="continuous"/>
          <w:pgSz w:w="16839" w:h="11907" w:orient="landscape"/>
          <w:pgMar w:top="1440" w:right="1440" w:bottom="1440" w:left="1440" w:header="720" w:footer="60" w:gutter="0"/>
          <w:cols w:space="720" w:num="2"/>
          <w:docGrid w:linePitch="360" w:charSpace="0"/>
        </w:sectPr>
      </w:pPr>
    </w:p>
    <w:p>
      <w:pPr>
        <w:spacing w:after="0" w:line="360" w:lineRule="auto"/>
        <w:ind w:firstLine="709"/>
        <w:jc w:val="both"/>
      </w:pPr>
      <w:r>
        <w:rPr>
          <w:color w:val="000000"/>
        </w:rPr>
        <w:t xml:space="preserve">Dari data 10 penyakit terbanyak tersebut, masih ditemukan beberapa penyakit yang sebenarnya dapat ditangani di PPK tingkat I dan II. Untuk mengupayakan hal tersebut, pembinaan ke PPK I dan II perlu terus dilakukan. Peningkatan tertinggi tampak pada kunjungan pasien peserta Badan Penyelenggara Jaminan Kesehatan (BPJS) non Penerima Bantuan Iuran (PBI). </w:t>
      </w:r>
    </w:p>
    <w:p>
      <w:pPr>
        <w:pStyle w:val="9"/>
        <w:rPr>
          <w:lang w:val="id-ID"/>
        </w:rPr>
      </w:pPr>
      <w:bookmarkStart w:id="14" w:name="_Toc430523085"/>
      <w:r>
        <w:t xml:space="preserve">Tabel 2. </w:t>
      </w:r>
      <w:r>
        <w:fldChar w:fldCharType="begin"/>
      </w:r>
      <w:r>
        <w:instrText xml:space="preserve"> SEQ Tabel_2. \* ARABIC </w:instrText>
      </w:r>
      <w:r>
        <w:fldChar w:fldCharType="separate"/>
      </w:r>
      <w:r>
        <w:t>3</w:t>
      </w:r>
      <w:r>
        <w:fldChar w:fldCharType="end"/>
      </w:r>
      <w:r>
        <w:rPr>
          <w:lang w:val="id-ID"/>
        </w:rPr>
        <w:t xml:space="preserve"> Kunjungan Pasien Rawat Jalan Per Cara Bayar </w:t>
      </w:r>
      <w:r>
        <w:t xml:space="preserve">Semester I Tahun </w:t>
      </w:r>
      <w:r>
        <w:rPr>
          <w:lang w:val="id-ID"/>
        </w:rPr>
        <w:t>2014</w:t>
      </w:r>
      <w:bookmarkEnd w:id="14"/>
    </w:p>
    <w:tbl>
      <w:tblPr>
        <w:tblStyle w:val="27"/>
        <w:tblW w:w="13949" w:type="dxa"/>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1549"/>
        <w:gridCol w:w="1551"/>
        <w:gridCol w:w="1551"/>
        <w:gridCol w:w="1551"/>
        <w:gridCol w:w="1551"/>
        <w:gridCol w:w="1551"/>
        <w:gridCol w:w="1551"/>
        <w:gridCol w:w="1551"/>
        <w:gridCol w:w="1543"/>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c>
          <w:tcPr>
            <w:tcW w:w="1549" w:type="dxa"/>
            <w:vMerge w:val="restart"/>
            <w:shd w:val="clear" w:color="auto" w:fill="ECCF74"/>
            <w:vAlign w:val="center"/>
          </w:tcPr>
          <w:p>
            <w:pPr>
              <w:spacing w:after="0" w:line="240" w:lineRule="auto"/>
              <w:jc w:val="center"/>
              <w:textAlignment w:val="baseline"/>
              <w:rPr>
                <w:rFonts w:eastAsia="Calibri"/>
                <w:b/>
                <w:bCs/>
                <w:color w:val="000000"/>
                <w:kern w:val="24"/>
                <w:sz w:val="22"/>
                <w:lang w:val="id-ID"/>
              </w:rPr>
            </w:pPr>
            <w:r>
              <w:rPr>
                <w:rFonts w:eastAsia="Calibri"/>
                <w:b/>
                <w:bCs/>
                <w:color w:val="000000"/>
                <w:kern w:val="24"/>
                <w:sz w:val="22"/>
                <w:lang w:val="id-ID"/>
              </w:rPr>
              <w:t>BULAN</w:t>
            </w:r>
          </w:p>
        </w:tc>
        <w:tc>
          <w:tcPr>
            <w:tcW w:w="1551" w:type="dxa"/>
            <w:vMerge w:val="restart"/>
            <w:shd w:val="clear" w:color="auto" w:fill="ECCF74"/>
            <w:vAlign w:val="center"/>
          </w:tcPr>
          <w:p>
            <w:pPr>
              <w:spacing w:after="0" w:line="240" w:lineRule="auto"/>
              <w:jc w:val="center"/>
              <w:textAlignment w:val="baseline"/>
              <w:rPr>
                <w:rFonts w:eastAsia="Calibri"/>
                <w:sz w:val="22"/>
              </w:rPr>
            </w:pPr>
            <w:r>
              <w:rPr>
                <w:rFonts w:eastAsia="Calibri"/>
                <w:b/>
                <w:bCs/>
                <w:color w:val="000000"/>
                <w:kern w:val="24"/>
                <w:sz w:val="22"/>
                <w:lang w:val="id-ID"/>
              </w:rPr>
              <w:t>UMUM</w:t>
            </w:r>
          </w:p>
        </w:tc>
        <w:tc>
          <w:tcPr>
            <w:tcW w:w="3102" w:type="dxa"/>
            <w:gridSpan w:val="2"/>
            <w:shd w:val="clear" w:color="auto" w:fill="ECCF74"/>
            <w:vAlign w:val="center"/>
          </w:tcPr>
          <w:p>
            <w:pPr>
              <w:spacing w:after="0" w:line="240" w:lineRule="auto"/>
              <w:jc w:val="center"/>
              <w:textAlignment w:val="baseline"/>
              <w:rPr>
                <w:rFonts w:eastAsia="Calibri"/>
                <w:sz w:val="22"/>
              </w:rPr>
            </w:pPr>
            <w:r>
              <w:rPr>
                <w:rFonts w:eastAsia="Calibri"/>
                <w:b/>
                <w:bCs/>
                <w:color w:val="000000"/>
                <w:kern w:val="24"/>
                <w:sz w:val="22"/>
                <w:lang w:val="id-ID"/>
              </w:rPr>
              <w:t>KONTRAKTOR BPJS</w:t>
            </w:r>
          </w:p>
        </w:tc>
        <w:tc>
          <w:tcPr>
            <w:tcW w:w="1551" w:type="dxa"/>
            <w:vMerge w:val="restart"/>
            <w:shd w:val="clear" w:color="auto" w:fill="ECCF74"/>
            <w:vAlign w:val="center"/>
          </w:tcPr>
          <w:p>
            <w:pPr>
              <w:spacing w:after="0" w:line="240" w:lineRule="auto"/>
              <w:jc w:val="center"/>
              <w:textAlignment w:val="baseline"/>
              <w:rPr>
                <w:rFonts w:eastAsia="Calibri"/>
                <w:sz w:val="22"/>
              </w:rPr>
            </w:pPr>
            <w:r>
              <w:rPr>
                <w:rFonts w:eastAsia="Calibri"/>
                <w:b/>
                <w:bCs/>
                <w:color w:val="000000"/>
                <w:kern w:val="24"/>
                <w:sz w:val="22"/>
                <w:lang w:val="id-ID"/>
              </w:rPr>
              <w:t>KARY</w:t>
            </w:r>
            <w:r>
              <w:rPr>
                <w:rFonts w:eastAsia="Calibri"/>
                <w:b/>
                <w:bCs/>
                <w:color w:val="000000"/>
                <w:kern w:val="24"/>
                <w:sz w:val="22"/>
              </w:rPr>
              <w:t xml:space="preserve">AWAN </w:t>
            </w:r>
            <w:r>
              <w:rPr>
                <w:rFonts w:eastAsia="Calibri"/>
                <w:b/>
                <w:bCs/>
                <w:color w:val="000000"/>
                <w:kern w:val="24"/>
                <w:sz w:val="22"/>
                <w:lang w:val="id-ID"/>
              </w:rPr>
              <w:t>NON BPJS</w:t>
            </w:r>
          </w:p>
        </w:tc>
        <w:tc>
          <w:tcPr>
            <w:tcW w:w="1551" w:type="dxa"/>
            <w:vMerge w:val="restart"/>
            <w:shd w:val="clear" w:color="auto" w:fill="ECCF74"/>
            <w:vAlign w:val="center"/>
          </w:tcPr>
          <w:p>
            <w:pPr>
              <w:spacing w:after="0" w:line="240" w:lineRule="auto"/>
              <w:jc w:val="center"/>
              <w:textAlignment w:val="baseline"/>
              <w:rPr>
                <w:rFonts w:eastAsia="Calibri"/>
                <w:sz w:val="22"/>
              </w:rPr>
            </w:pPr>
            <w:r>
              <w:rPr>
                <w:rFonts w:eastAsia="Calibri"/>
                <w:b/>
                <w:bCs/>
                <w:color w:val="000000"/>
                <w:kern w:val="24"/>
                <w:sz w:val="22"/>
                <w:lang w:val="id-ID"/>
              </w:rPr>
              <w:t>KONTRAKTOR</w:t>
            </w:r>
          </w:p>
        </w:tc>
        <w:tc>
          <w:tcPr>
            <w:tcW w:w="1551" w:type="dxa"/>
            <w:vMerge w:val="restart"/>
            <w:shd w:val="clear" w:color="auto" w:fill="ECCF74"/>
            <w:vAlign w:val="center"/>
          </w:tcPr>
          <w:p>
            <w:pPr>
              <w:spacing w:after="0" w:line="240" w:lineRule="auto"/>
              <w:jc w:val="center"/>
              <w:textAlignment w:val="baseline"/>
              <w:rPr>
                <w:rFonts w:eastAsia="Calibri"/>
                <w:sz w:val="22"/>
              </w:rPr>
            </w:pPr>
            <w:r>
              <w:rPr>
                <w:rFonts w:eastAsia="Calibri"/>
                <w:b/>
                <w:bCs/>
                <w:color w:val="000000"/>
                <w:kern w:val="24"/>
                <w:sz w:val="22"/>
                <w:lang w:val="id-ID"/>
              </w:rPr>
              <w:t>BEBA</w:t>
            </w:r>
            <w:r>
              <w:rPr>
                <w:rFonts w:eastAsia="Calibri"/>
                <w:b/>
                <w:bCs/>
                <w:color w:val="000000"/>
                <w:kern w:val="24"/>
                <w:sz w:val="22"/>
              </w:rPr>
              <w:t>S</w:t>
            </w:r>
          </w:p>
        </w:tc>
        <w:tc>
          <w:tcPr>
            <w:tcW w:w="1551" w:type="dxa"/>
            <w:vMerge w:val="restart"/>
            <w:shd w:val="clear" w:color="auto" w:fill="ECCF74"/>
            <w:vAlign w:val="center"/>
          </w:tcPr>
          <w:p>
            <w:pPr>
              <w:spacing w:after="0" w:line="240" w:lineRule="auto"/>
              <w:jc w:val="center"/>
              <w:textAlignment w:val="baseline"/>
              <w:rPr>
                <w:rFonts w:eastAsia="Calibri"/>
                <w:b/>
                <w:bCs/>
                <w:color w:val="000000"/>
                <w:kern w:val="24"/>
                <w:sz w:val="22"/>
              </w:rPr>
            </w:pPr>
            <w:r>
              <w:rPr>
                <w:rFonts w:eastAsia="Calibri"/>
                <w:b/>
                <w:bCs/>
                <w:color w:val="000000"/>
                <w:kern w:val="24"/>
                <w:sz w:val="22"/>
                <w:lang w:val="id-ID"/>
              </w:rPr>
              <w:t>JAMKESDA</w:t>
            </w:r>
          </w:p>
        </w:tc>
        <w:tc>
          <w:tcPr>
            <w:tcW w:w="1543" w:type="dxa"/>
            <w:vMerge w:val="restart"/>
            <w:shd w:val="clear" w:color="auto" w:fill="ECCF74"/>
            <w:vAlign w:val="center"/>
          </w:tcPr>
          <w:p>
            <w:pPr>
              <w:spacing w:after="0" w:line="240" w:lineRule="auto"/>
              <w:jc w:val="center"/>
              <w:textAlignment w:val="baseline"/>
              <w:rPr>
                <w:rFonts w:eastAsia="Calibri"/>
                <w:b/>
                <w:bCs/>
                <w:color w:val="000000"/>
                <w:kern w:val="24"/>
                <w:sz w:val="22"/>
              </w:rPr>
            </w:pPr>
            <w:r>
              <w:rPr>
                <w:rFonts w:eastAsia="Calibri"/>
                <w:b/>
                <w:bCs/>
                <w:color w:val="000000"/>
                <w:kern w:val="24"/>
                <w:sz w:val="22"/>
                <w:lang w:val="id-ID"/>
              </w:rPr>
              <w:t>YAYASAN</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c>
          <w:tcPr>
            <w:tcW w:w="1549" w:type="dxa"/>
            <w:vMerge w:val="continue"/>
          </w:tcPr>
          <w:p>
            <w:pPr>
              <w:rPr>
                <w:rFonts w:eastAsia="Calibri"/>
                <w:lang w:val="id-ID"/>
              </w:rPr>
            </w:pPr>
          </w:p>
        </w:tc>
        <w:tc>
          <w:tcPr>
            <w:tcW w:w="1551" w:type="dxa"/>
            <w:vMerge w:val="continue"/>
          </w:tcPr>
          <w:p>
            <w:pPr>
              <w:rPr>
                <w:rFonts w:eastAsia="Calibri"/>
                <w:lang w:val="id-ID"/>
              </w:rPr>
            </w:pPr>
          </w:p>
        </w:tc>
        <w:tc>
          <w:tcPr>
            <w:tcW w:w="1551" w:type="dxa"/>
            <w:shd w:val="clear" w:color="auto" w:fill="ECCF74"/>
          </w:tcPr>
          <w:p>
            <w:pPr>
              <w:spacing w:after="0" w:line="288" w:lineRule="auto"/>
              <w:jc w:val="center"/>
              <w:rPr>
                <w:rFonts w:eastAsia="Calibri"/>
                <w:b/>
                <w:sz w:val="22"/>
              </w:rPr>
            </w:pPr>
            <w:r>
              <w:rPr>
                <w:rFonts w:eastAsia="Calibri"/>
                <w:b/>
                <w:sz w:val="22"/>
              </w:rPr>
              <w:t>PBI</w:t>
            </w:r>
          </w:p>
        </w:tc>
        <w:tc>
          <w:tcPr>
            <w:tcW w:w="1551" w:type="dxa"/>
            <w:shd w:val="clear" w:color="auto" w:fill="ECCF74"/>
          </w:tcPr>
          <w:p>
            <w:pPr>
              <w:spacing w:after="0" w:line="288" w:lineRule="auto"/>
              <w:jc w:val="center"/>
              <w:rPr>
                <w:rFonts w:eastAsia="Calibri"/>
                <w:b/>
                <w:sz w:val="22"/>
              </w:rPr>
            </w:pPr>
            <w:r>
              <w:rPr>
                <w:rFonts w:eastAsia="Calibri"/>
                <w:b/>
                <w:sz w:val="22"/>
              </w:rPr>
              <w:t>NON PBI</w:t>
            </w:r>
          </w:p>
        </w:tc>
        <w:tc>
          <w:tcPr>
            <w:tcW w:w="1551" w:type="dxa"/>
            <w:vMerge w:val="continue"/>
          </w:tcPr>
          <w:p>
            <w:pPr>
              <w:rPr>
                <w:rFonts w:eastAsia="Calibri"/>
                <w:lang w:val="id-ID"/>
              </w:rPr>
            </w:pPr>
          </w:p>
        </w:tc>
        <w:tc>
          <w:tcPr>
            <w:tcW w:w="1551" w:type="dxa"/>
            <w:vMerge w:val="continue"/>
          </w:tcPr>
          <w:p>
            <w:pPr>
              <w:rPr>
                <w:rFonts w:eastAsia="Calibri"/>
                <w:lang w:val="id-ID"/>
              </w:rPr>
            </w:pPr>
          </w:p>
        </w:tc>
        <w:tc>
          <w:tcPr>
            <w:tcW w:w="1551" w:type="dxa"/>
            <w:vMerge w:val="continue"/>
          </w:tcPr>
          <w:p>
            <w:pPr>
              <w:rPr>
                <w:rFonts w:eastAsia="Calibri"/>
                <w:lang w:val="id-ID"/>
              </w:rPr>
            </w:pPr>
          </w:p>
        </w:tc>
        <w:tc>
          <w:tcPr>
            <w:tcW w:w="1551" w:type="dxa"/>
            <w:vMerge w:val="continue"/>
          </w:tcPr>
          <w:p>
            <w:pPr>
              <w:rPr>
                <w:rFonts w:eastAsia="Calibri"/>
                <w:lang w:val="id-ID"/>
              </w:rPr>
            </w:pPr>
          </w:p>
        </w:tc>
        <w:tc>
          <w:tcPr>
            <w:tcW w:w="1543" w:type="dxa"/>
            <w:vMerge w:val="continue"/>
          </w:tcPr>
          <w:p>
            <w:pPr>
              <w:rPr>
                <w:rFonts w:eastAsia="Calibri"/>
                <w:lang w:val="id-ID"/>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c>
          <w:tcPr>
            <w:tcW w:w="1549" w:type="dxa"/>
            <w:vAlign w:val="center"/>
          </w:tcPr>
          <w:p>
            <w:pPr>
              <w:spacing w:after="0" w:line="240" w:lineRule="auto"/>
              <w:jc w:val="center"/>
              <w:textAlignment w:val="baseline"/>
              <w:rPr>
                <w:rFonts w:eastAsia="Calibri"/>
              </w:rPr>
            </w:pPr>
            <w:r>
              <w:rPr>
                <w:rFonts w:eastAsia="Calibri"/>
              </w:rPr>
              <w:t>Jan</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4921</w:t>
            </w:r>
          </w:p>
          <w:p>
            <w:pPr>
              <w:spacing w:after="0" w:line="240" w:lineRule="auto"/>
              <w:jc w:val="center"/>
              <w:textAlignment w:val="baseline"/>
              <w:rPr>
                <w:rFonts w:eastAsia="Calibri"/>
              </w:rPr>
            </w:pPr>
            <w:r>
              <w:rPr>
                <w:rFonts w:eastAsia="Calibri"/>
                <w:bCs/>
                <w:color w:val="000000"/>
                <w:kern w:val="24"/>
                <w:lang w:val="id-ID"/>
              </w:rPr>
              <w:t>(22%)</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6717</w:t>
            </w:r>
          </w:p>
          <w:p>
            <w:pPr>
              <w:spacing w:after="0" w:line="240" w:lineRule="auto"/>
              <w:jc w:val="center"/>
              <w:textAlignment w:val="baseline"/>
              <w:rPr>
                <w:rFonts w:eastAsia="Calibri"/>
              </w:rPr>
            </w:pPr>
            <w:r>
              <w:rPr>
                <w:rFonts w:eastAsia="Calibri"/>
                <w:bCs/>
                <w:color w:val="000000"/>
                <w:kern w:val="24"/>
                <w:lang w:val="id-ID"/>
              </w:rPr>
              <w:t>(30%)</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6619</w:t>
            </w:r>
          </w:p>
          <w:p>
            <w:pPr>
              <w:spacing w:after="0" w:line="240" w:lineRule="auto"/>
              <w:jc w:val="center"/>
              <w:textAlignment w:val="baseline"/>
              <w:rPr>
                <w:rFonts w:eastAsia="Calibri"/>
              </w:rPr>
            </w:pPr>
            <w:r>
              <w:rPr>
                <w:rFonts w:eastAsia="Calibri"/>
                <w:bCs/>
                <w:color w:val="000000"/>
                <w:kern w:val="24"/>
                <w:lang w:val="id-ID"/>
              </w:rPr>
              <w:t>(29%)</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4</w:t>
            </w:r>
          </w:p>
          <w:p>
            <w:pPr>
              <w:spacing w:after="0" w:line="240" w:lineRule="auto"/>
              <w:jc w:val="center"/>
              <w:textAlignment w:val="baseline"/>
              <w:rPr>
                <w:rFonts w:eastAsia="Calibri"/>
              </w:rPr>
            </w:pPr>
            <w:r>
              <w:rPr>
                <w:rFonts w:eastAsia="Calibri"/>
                <w:bCs/>
                <w:color w:val="000000"/>
                <w:kern w:val="24"/>
                <w:lang w:val="id-ID"/>
              </w:rPr>
              <w:t>(0,1%)</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1186</w:t>
            </w:r>
          </w:p>
          <w:p>
            <w:pPr>
              <w:spacing w:after="0" w:line="240" w:lineRule="auto"/>
              <w:jc w:val="center"/>
              <w:textAlignment w:val="baseline"/>
              <w:rPr>
                <w:rFonts w:eastAsia="Calibri"/>
              </w:rPr>
            </w:pPr>
            <w:r>
              <w:rPr>
                <w:rFonts w:eastAsia="Calibri"/>
                <w:bCs/>
                <w:color w:val="000000"/>
                <w:kern w:val="24"/>
                <w:lang w:val="id-ID"/>
              </w:rPr>
              <w:t>(5%)</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22</w:t>
            </w:r>
          </w:p>
          <w:p>
            <w:pPr>
              <w:spacing w:after="0" w:line="240" w:lineRule="auto"/>
              <w:jc w:val="center"/>
              <w:textAlignment w:val="baseline"/>
              <w:rPr>
                <w:rFonts w:eastAsia="Calibri"/>
              </w:rPr>
            </w:pPr>
            <w:r>
              <w:rPr>
                <w:rFonts w:eastAsia="Calibri"/>
                <w:bCs/>
                <w:color w:val="000000"/>
                <w:kern w:val="24"/>
                <w:lang w:val="id-ID"/>
              </w:rPr>
              <w:t>(0,4%)</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3038</w:t>
            </w:r>
          </w:p>
          <w:p>
            <w:pPr>
              <w:spacing w:after="0" w:line="240" w:lineRule="auto"/>
              <w:jc w:val="center"/>
              <w:textAlignment w:val="baseline"/>
              <w:rPr>
                <w:rFonts w:eastAsia="Calibri"/>
              </w:rPr>
            </w:pPr>
            <w:r>
              <w:rPr>
                <w:rFonts w:eastAsia="Calibri"/>
                <w:bCs/>
                <w:color w:val="000000"/>
                <w:kern w:val="24"/>
                <w:lang w:val="id-ID"/>
              </w:rPr>
              <w:t>(13%)</w:t>
            </w:r>
          </w:p>
        </w:tc>
        <w:tc>
          <w:tcPr>
            <w:tcW w:w="1543" w:type="dxa"/>
            <w:vAlign w:val="center"/>
          </w:tcPr>
          <w:p>
            <w:pPr>
              <w:spacing w:after="0" w:line="240" w:lineRule="auto"/>
              <w:jc w:val="center"/>
              <w:textAlignment w:val="baseline"/>
              <w:rPr>
                <w:rFonts w:eastAsia="Calibri"/>
              </w:rPr>
            </w:pPr>
            <w:r>
              <w:rPr>
                <w:rFonts w:eastAsia="Calibri"/>
                <w:bCs/>
                <w:color w:val="000000"/>
                <w:kern w:val="24"/>
                <w:lang w:val="id-ID"/>
              </w:rPr>
              <w:t>51</w:t>
            </w:r>
          </w:p>
          <w:p>
            <w:pPr>
              <w:spacing w:after="0" w:line="240" w:lineRule="auto"/>
              <w:jc w:val="center"/>
              <w:textAlignment w:val="baseline"/>
              <w:rPr>
                <w:rFonts w:eastAsia="Calibri"/>
              </w:rPr>
            </w:pPr>
            <w:r>
              <w:rPr>
                <w:rFonts w:eastAsia="Calibri"/>
                <w:bCs/>
                <w:color w:val="000000"/>
                <w:kern w:val="24"/>
                <w:lang w:val="id-ID"/>
              </w:rPr>
              <w:t>(0,5%)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c>
          <w:tcPr>
            <w:tcW w:w="1549" w:type="dxa"/>
            <w:vAlign w:val="center"/>
          </w:tcPr>
          <w:p>
            <w:pPr>
              <w:spacing w:after="0" w:line="240" w:lineRule="auto"/>
              <w:jc w:val="center"/>
              <w:textAlignment w:val="baseline"/>
              <w:rPr>
                <w:rFonts w:eastAsia="Calibri"/>
              </w:rPr>
            </w:pPr>
            <w:r>
              <w:rPr>
                <w:rFonts w:eastAsia="Calibri"/>
              </w:rPr>
              <w:t>Feb</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4011</w:t>
            </w:r>
          </w:p>
          <w:p>
            <w:pPr>
              <w:spacing w:after="0" w:line="240" w:lineRule="auto"/>
              <w:jc w:val="center"/>
              <w:textAlignment w:val="baseline"/>
              <w:rPr>
                <w:rFonts w:eastAsia="Calibri"/>
              </w:rPr>
            </w:pPr>
            <w:r>
              <w:rPr>
                <w:rFonts w:eastAsia="Calibri"/>
                <w:bCs/>
                <w:color w:val="000000"/>
                <w:kern w:val="24"/>
                <w:lang w:val="id-ID"/>
              </w:rPr>
              <w:t>(18%)</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6292</w:t>
            </w:r>
          </w:p>
          <w:p>
            <w:pPr>
              <w:spacing w:after="0" w:line="240" w:lineRule="auto"/>
              <w:jc w:val="center"/>
              <w:textAlignment w:val="baseline"/>
              <w:rPr>
                <w:rFonts w:eastAsia="Calibri"/>
              </w:rPr>
            </w:pPr>
            <w:r>
              <w:rPr>
                <w:rFonts w:eastAsia="Calibri"/>
                <w:bCs/>
                <w:color w:val="000000"/>
                <w:kern w:val="24"/>
                <w:lang w:val="id-ID"/>
              </w:rPr>
              <w:t>(27%)</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9023</w:t>
            </w:r>
          </w:p>
          <w:p>
            <w:pPr>
              <w:spacing w:after="0" w:line="240" w:lineRule="auto"/>
              <w:jc w:val="center"/>
              <w:textAlignment w:val="baseline"/>
              <w:rPr>
                <w:rFonts w:eastAsia="Calibri"/>
              </w:rPr>
            </w:pPr>
            <w:r>
              <w:rPr>
                <w:rFonts w:eastAsia="Calibri"/>
                <w:bCs/>
                <w:color w:val="000000"/>
                <w:kern w:val="24"/>
                <w:lang w:val="id-ID"/>
              </w:rPr>
              <w:t>(39%)</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3</w:t>
            </w:r>
          </w:p>
          <w:p>
            <w:pPr>
              <w:spacing w:after="0" w:line="240" w:lineRule="auto"/>
              <w:jc w:val="center"/>
              <w:textAlignment w:val="baseline"/>
              <w:rPr>
                <w:rFonts w:eastAsia="Calibri"/>
              </w:rPr>
            </w:pPr>
            <w:r>
              <w:rPr>
                <w:rFonts w:eastAsia="Calibri"/>
                <w:bCs/>
                <w:color w:val="000000"/>
                <w:kern w:val="24"/>
                <w:lang w:val="id-ID"/>
              </w:rPr>
              <w:t>(0,1%)</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1308</w:t>
            </w:r>
          </w:p>
          <w:p>
            <w:pPr>
              <w:spacing w:after="0" w:line="240" w:lineRule="auto"/>
              <w:jc w:val="center"/>
              <w:textAlignment w:val="baseline"/>
              <w:rPr>
                <w:rFonts w:eastAsia="Calibri"/>
              </w:rPr>
            </w:pPr>
            <w:r>
              <w:rPr>
                <w:rFonts w:eastAsia="Calibri"/>
                <w:bCs/>
                <w:color w:val="000000"/>
                <w:kern w:val="24"/>
                <w:lang w:val="id-ID"/>
              </w:rPr>
              <w:t>(6%)</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25</w:t>
            </w:r>
          </w:p>
          <w:p>
            <w:pPr>
              <w:spacing w:after="0" w:line="240" w:lineRule="auto"/>
              <w:jc w:val="center"/>
              <w:textAlignment w:val="baseline"/>
              <w:rPr>
                <w:rFonts w:eastAsia="Calibri"/>
              </w:rPr>
            </w:pPr>
            <w:r>
              <w:rPr>
                <w:rFonts w:eastAsia="Calibri"/>
                <w:bCs/>
                <w:color w:val="000000"/>
                <w:kern w:val="24"/>
                <w:lang w:val="id-ID"/>
              </w:rPr>
              <w:t>(0,4%)</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2074</w:t>
            </w:r>
          </w:p>
          <w:p>
            <w:pPr>
              <w:spacing w:after="0" w:line="240" w:lineRule="auto"/>
              <w:jc w:val="center"/>
              <w:textAlignment w:val="baseline"/>
              <w:rPr>
                <w:rFonts w:eastAsia="Calibri"/>
              </w:rPr>
            </w:pPr>
            <w:r>
              <w:rPr>
                <w:rFonts w:eastAsia="Calibri"/>
                <w:bCs/>
                <w:color w:val="000000"/>
                <w:kern w:val="24"/>
                <w:lang w:val="id-ID"/>
              </w:rPr>
              <w:t>(9%)</w:t>
            </w:r>
          </w:p>
        </w:tc>
        <w:tc>
          <w:tcPr>
            <w:tcW w:w="1543" w:type="dxa"/>
            <w:vAlign w:val="center"/>
          </w:tcPr>
          <w:p>
            <w:pPr>
              <w:spacing w:after="0" w:line="240" w:lineRule="auto"/>
              <w:jc w:val="center"/>
              <w:textAlignment w:val="baseline"/>
              <w:rPr>
                <w:rFonts w:eastAsia="Calibri"/>
              </w:rPr>
            </w:pPr>
            <w:r>
              <w:rPr>
                <w:rFonts w:eastAsia="Calibri"/>
                <w:bCs/>
                <w:color w:val="000000"/>
                <w:kern w:val="24"/>
                <w:lang w:val="id-ID"/>
              </w:rPr>
              <w:t>56</w:t>
            </w:r>
          </w:p>
          <w:p>
            <w:pPr>
              <w:spacing w:after="0" w:line="240" w:lineRule="auto"/>
              <w:jc w:val="center"/>
              <w:textAlignment w:val="baseline"/>
              <w:rPr>
                <w:rFonts w:eastAsia="Calibri"/>
              </w:rPr>
            </w:pPr>
            <w:r>
              <w:rPr>
                <w:rFonts w:eastAsia="Calibri"/>
                <w:bCs/>
                <w:color w:val="000000"/>
                <w:kern w:val="24"/>
                <w:lang w:val="id-ID"/>
              </w:rPr>
              <w:t>(0,5%)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c>
          <w:tcPr>
            <w:tcW w:w="1549" w:type="dxa"/>
            <w:vAlign w:val="center"/>
          </w:tcPr>
          <w:p>
            <w:pPr>
              <w:spacing w:after="0" w:line="240" w:lineRule="auto"/>
              <w:jc w:val="center"/>
              <w:textAlignment w:val="baseline"/>
              <w:rPr>
                <w:rFonts w:eastAsia="Calibri"/>
              </w:rPr>
            </w:pPr>
            <w:r>
              <w:rPr>
                <w:rFonts w:eastAsia="Calibri"/>
              </w:rPr>
              <w:t>Mar</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4143</w:t>
            </w:r>
          </w:p>
          <w:p>
            <w:pPr>
              <w:spacing w:after="0" w:line="240" w:lineRule="auto"/>
              <w:jc w:val="center"/>
              <w:textAlignment w:val="baseline"/>
              <w:rPr>
                <w:rFonts w:eastAsia="Calibri"/>
              </w:rPr>
            </w:pPr>
            <w:r>
              <w:rPr>
                <w:rFonts w:eastAsia="Calibri"/>
                <w:bCs/>
                <w:color w:val="000000"/>
                <w:kern w:val="24"/>
                <w:lang w:val="id-ID"/>
              </w:rPr>
              <w:t>(20%)</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5320</w:t>
            </w:r>
          </w:p>
          <w:p>
            <w:pPr>
              <w:spacing w:after="0" w:line="240" w:lineRule="auto"/>
              <w:jc w:val="center"/>
              <w:textAlignment w:val="baseline"/>
              <w:rPr>
                <w:rFonts w:eastAsia="Calibri"/>
              </w:rPr>
            </w:pPr>
            <w:r>
              <w:rPr>
                <w:rFonts w:eastAsia="Calibri"/>
                <w:bCs/>
                <w:color w:val="000000"/>
                <w:kern w:val="24"/>
                <w:lang w:val="id-ID"/>
              </w:rPr>
              <w:t>(25%)</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8996</w:t>
            </w:r>
          </w:p>
          <w:p>
            <w:pPr>
              <w:spacing w:after="0" w:line="240" w:lineRule="auto"/>
              <w:jc w:val="center"/>
              <w:textAlignment w:val="baseline"/>
              <w:rPr>
                <w:rFonts w:eastAsia="Calibri"/>
              </w:rPr>
            </w:pPr>
            <w:r>
              <w:rPr>
                <w:rFonts w:eastAsia="Calibri"/>
                <w:bCs/>
                <w:color w:val="000000"/>
                <w:kern w:val="24"/>
                <w:lang w:val="id-ID"/>
              </w:rPr>
              <w:t>(43%)</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70</w:t>
            </w:r>
          </w:p>
          <w:p>
            <w:pPr>
              <w:spacing w:after="0" w:line="240" w:lineRule="auto"/>
              <w:jc w:val="center"/>
              <w:textAlignment w:val="baseline"/>
              <w:rPr>
                <w:rFonts w:eastAsia="Calibri"/>
              </w:rPr>
            </w:pPr>
            <w:r>
              <w:rPr>
                <w:rFonts w:eastAsia="Calibri"/>
                <w:bCs/>
                <w:color w:val="000000"/>
                <w:kern w:val="24"/>
                <w:lang w:val="id-ID"/>
              </w:rPr>
              <w:t>(0,8%)</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715</w:t>
            </w:r>
          </w:p>
          <w:p>
            <w:pPr>
              <w:spacing w:after="0" w:line="240" w:lineRule="auto"/>
              <w:jc w:val="center"/>
              <w:textAlignment w:val="baseline"/>
              <w:rPr>
                <w:rFonts w:eastAsia="Calibri"/>
              </w:rPr>
            </w:pPr>
            <w:r>
              <w:rPr>
                <w:rFonts w:eastAsia="Calibri"/>
                <w:bCs/>
                <w:color w:val="000000"/>
                <w:kern w:val="24"/>
                <w:lang w:val="id-ID"/>
              </w:rPr>
              <w:t>(3%)</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24</w:t>
            </w:r>
          </w:p>
          <w:p>
            <w:pPr>
              <w:spacing w:after="0" w:line="240" w:lineRule="auto"/>
              <w:jc w:val="center"/>
              <w:textAlignment w:val="baseline"/>
              <w:rPr>
                <w:rFonts w:eastAsia="Calibri"/>
              </w:rPr>
            </w:pPr>
            <w:r>
              <w:rPr>
                <w:rFonts w:eastAsia="Calibri"/>
                <w:bCs/>
                <w:color w:val="000000"/>
                <w:kern w:val="24"/>
                <w:lang w:val="id-ID"/>
              </w:rPr>
              <w:t>(0,4%)</w:t>
            </w:r>
          </w:p>
        </w:tc>
        <w:tc>
          <w:tcPr>
            <w:tcW w:w="1551" w:type="dxa"/>
            <w:vAlign w:val="center"/>
          </w:tcPr>
          <w:p>
            <w:pPr>
              <w:spacing w:after="0" w:line="240" w:lineRule="auto"/>
              <w:jc w:val="center"/>
              <w:textAlignment w:val="baseline"/>
              <w:rPr>
                <w:rFonts w:eastAsia="Calibri"/>
              </w:rPr>
            </w:pPr>
            <w:r>
              <w:rPr>
                <w:rFonts w:eastAsia="Calibri"/>
                <w:bCs/>
                <w:color w:val="000000"/>
                <w:kern w:val="24"/>
                <w:lang w:val="id-ID"/>
              </w:rPr>
              <w:t>1566</w:t>
            </w:r>
          </w:p>
          <w:p>
            <w:pPr>
              <w:spacing w:after="0" w:line="240" w:lineRule="auto"/>
              <w:jc w:val="center"/>
              <w:textAlignment w:val="baseline"/>
              <w:rPr>
                <w:rFonts w:eastAsia="Calibri"/>
              </w:rPr>
            </w:pPr>
            <w:r>
              <w:rPr>
                <w:rFonts w:eastAsia="Calibri"/>
                <w:bCs/>
                <w:color w:val="000000"/>
                <w:kern w:val="24"/>
                <w:lang w:val="id-ID"/>
              </w:rPr>
              <w:t>(7%)</w:t>
            </w:r>
          </w:p>
        </w:tc>
        <w:tc>
          <w:tcPr>
            <w:tcW w:w="1543" w:type="dxa"/>
            <w:vAlign w:val="center"/>
          </w:tcPr>
          <w:p>
            <w:pPr>
              <w:spacing w:after="0" w:line="240" w:lineRule="auto"/>
              <w:jc w:val="center"/>
              <w:textAlignment w:val="baseline"/>
              <w:rPr>
                <w:rFonts w:eastAsia="Calibri"/>
              </w:rPr>
            </w:pPr>
            <w:r>
              <w:rPr>
                <w:rFonts w:eastAsia="Calibri"/>
                <w:bCs/>
                <w:color w:val="000000"/>
                <w:kern w:val="24"/>
                <w:lang w:val="id-ID"/>
              </w:rPr>
              <w:t>73</w:t>
            </w:r>
          </w:p>
          <w:p>
            <w:pPr>
              <w:spacing w:after="0" w:line="240" w:lineRule="auto"/>
              <w:jc w:val="center"/>
              <w:textAlignment w:val="baseline"/>
              <w:rPr>
                <w:rFonts w:eastAsia="Calibri"/>
              </w:rPr>
            </w:pPr>
            <w:r>
              <w:rPr>
                <w:rFonts w:eastAsia="Calibri"/>
                <w:bCs/>
                <w:color w:val="000000"/>
                <w:kern w:val="24"/>
                <w:lang w:val="id-ID"/>
              </w:rPr>
              <w:t>(0,8%)</w:t>
            </w:r>
          </w:p>
        </w:tc>
      </w:tr>
    </w:tbl>
    <w:p>
      <w:pPr>
        <w:spacing w:line="360" w:lineRule="auto"/>
        <w:jc w:val="both"/>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b/>
          <w:bCs/>
        </w:rPr>
      </w:pPr>
      <w:r>
        <w:t>Pada gambar 2.2 tampak jelas bahwa pada triwulan pertama kunjungan pasien JKN non PBI meningkat tajam. Kemudahan dalam mendapatkan kepesertaan BPJS Kesehatan membuat kecenderungan pasien umum dan kontraktor berubah status kepesertaan menjadi JKN.</w:t>
      </w:r>
    </w:p>
    <w:p>
      <w:pPr>
        <w:spacing w:after="0" w:line="240" w:lineRule="auto"/>
        <w:jc w:val="center"/>
      </w:pPr>
      <w:r>
        <w:rPr>
          <w:rFonts w:cs="Arial"/>
          <w:color w:val="000000"/>
          <w:lang w:val="id-ID" w:eastAsia="id-ID"/>
        </w:rPr>
        <w:drawing>
          <wp:inline distT="0" distB="0" distL="0" distR="0">
            <wp:extent cx="8335645" cy="1945640"/>
            <wp:effectExtent l="0" t="0" r="0" b="0"/>
            <wp:docPr id="10"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9"/>
        <w:sectPr>
          <w:type w:val="continuous"/>
          <w:pgSz w:w="16839" w:h="11907" w:orient="landscape"/>
          <w:pgMar w:top="1440" w:right="1440" w:bottom="1440" w:left="1440" w:header="720" w:footer="60" w:gutter="0"/>
          <w:cols w:space="720" w:num="1"/>
          <w:docGrid w:linePitch="360" w:charSpace="0"/>
        </w:sectPr>
      </w:pPr>
    </w:p>
    <w:p>
      <w:pPr>
        <w:pStyle w:val="9"/>
        <w:rPr>
          <w:rFonts w:cs="Arial"/>
          <w:color w:val="000000"/>
          <w:szCs w:val="22"/>
        </w:rPr>
      </w:pPr>
      <w:bookmarkStart w:id="15" w:name="_Toc430523210"/>
      <w:r>
        <w:t xml:space="preserve">Gambar 2. </w:t>
      </w:r>
      <w:r>
        <w:fldChar w:fldCharType="begin"/>
      </w:r>
      <w:r>
        <w:instrText xml:space="preserve"> SEQ Gambar_2._ \* ARABIC </w:instrText>
      </w:r>
      <w:r>
        <w:fldChar w:fldCharType="separate"/>
      </w:r>
      <w:r>
        <w:t>2</w:t>
      </w:r>
      <w:r>
        <w:fldChar w:fldCharType="end"/>
      </w:r>
      <w:r>
        <w:t xml:space="preserve">  </w:t>
      </w:r>
      <w:r>
        <w:rPr>
          <w:lang w:val="id-ID"/>
        </w:rPr>
        <w:t xml:space="preserve">Kunjungan </w:t>
      </w:r>
      <w:r>
        <w:t xml:space="preserve">Pasien JKN </w:t>
      </w:r>
      <w:r>
        <w:rPr>
          <w:lang w:val="id-ID"/>
        </w:rPr>
        <w:t xml:space="preserve">Rawat Jalan </w:t>
      </w:r>
      <w:r>
        <w:t>Semester I Tahun 2014</w:t>
      </w:r>
      <w:bookmarkEnd w:id="15"/>
    </w:p>
    <w:p>
      <w:pPr>
        <w:pStyle w:val="28"/>
        <w:spacing w:line="360" w:lineRule="auto"/>
        <w:ind w:left="900"/>
        <w:jc w:val="both"/>
        <w:rPr>
          <w:rFonts w:cs="Arial"/>
          <w:color w:val="000000"/>
          <w:lang w:val="sv-SE"/>
        </w:rPr>
      </w:pPr>
    </w:p>
    <w:p>
      <w:pPr>
        <w:pStyle w:val="28"/>
        <w:spacing w:line="360" w:lineRule="auto"/>
        <w:ind w:left="900"/>
        <w:jc w:val="both"/>
        <w:rPr>
          <w:rFonts w:cs="Arial"/>
          <w:color w:val="000000"/>
          <w:lang w:val="sv-SE"/>
        </w:rPr>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color w:val="000000"/>
        </w:rPr>
      </w:pPr>
      <w:r>
        <w:rPr>
          <w:rFonts w:cs="Arial"/>
          <w:color w:val="000000"/>
        </w:rPr>
        <w:t>Dari segi mutu pelayanan, pada akhir tahun 2012 lama waktu tunggu (</w:t>
      </w:r>
      <w:r>
        <w:rPr>
          <w:rFonts w:cs="Arial"/>
          <w:i/>
          <w:color w:val="000000"/>
        </w:rPr>
        <w:t>waiting time</w:t>
      </w:r>
      <w:r>
        <w:rPr>
          <w:rFonts w:cs="Arial"/>
          <w:color w:val="000000"/>
        </w:rPr>
        <w:t xml:space="preserve">) poliklinik adalah 71 menit. </w:t>
      </w:r>
      <w:r>
        <w:rPr>
          <w:rFonts w:cs="Arial"/>
          <w:color w:val="000000"/>
          <w:lang w:val="sv-SE"/>
        </w:rPr>
        <w:t>P</w:t>
      </w:r>
      <w:r>
        <w:rPr>
          <w:rFonts w:cs="Arial"/>
          <w:color w:val="000000"/>
        </w:rPr>
        <w:t xml:space="preserve">ada  tahun 2013 realisasi lama waktu tunggu di poliklinik adalah 50 menit, 44 detik (nilai 1,5). Pada semester I tahun 2014, terjadi peningkatan waktu tunggu rawat jalan menjadi 90 menit. Waktu tunggu pelayanan rawat jalan yang panjang ini terkait dengan akses dan alur pelayanan yang belum tertata dengan baik, serta waktu mulai pelayanan yang belum serempak sesuai jadwal yang ditetapkan. Pada awal pelaksanaan JKN, dihadapi beberapa kendala yang menyebabkan memanjangnya waktu tunggu di rawat jalan, yaitu proses verifikasi kepesertaan, IT yang belum </w:t>
      </w:r>
      <w:r>
        <w:rPr>
          <w:rFonts w:cs="Arial"/>
          <w:i/>
          <w:color w:val="000000"/>
        </w:rPr>
        <w:t>bridging,</w:t>
      </w:r>
      <w:r>
        <w:rPr>
          <w:rFonts w:cs="Arial"/>
          <w:color w:val="000000"/>
        </w:rPr>
        <w:t xml:space="preserve"> dan semakin tingginya kunjungan rawat jalan. U</w:t>
      </w:r>
      <w:r>
        <w:rPr>
          <w:color w:val="000000"/>
        </w:rPr>
        <w:t xml:space="preserve">ntuk itu, telah dilakukan beberapa penataan loket pendaftaran dan alur pelayanan rawat jalan. </w:t>
      </w:r>
    </w:p>
    <w:p>
      <w:pPr>
        <w:spacing w:line="360" w:lineRule="auto"/>
        <w:ind w:firstLine="709"/>
        <w:jc w:val="both"/>
        <w:rPr>
          <w:rFonts w:cs="Arial"/>
          <w:color w:val="000000"/>
          <w:lang w:val="nb-NO"/>
        </w:rPr>
      </w:pPr>
      <w:r>
        <w:rPr>
          <w:rFonts w:cs="Arial"/>
          <w:color w:val="000000"/>
        </w:rPr>
        <w:t>Di samping itu, p</w:t>
      </w:r>
      <w:r>
        <w:rPr>
          <w:rFonts w:cs="Arial"/>
          <w:color w:val="000000"/>
          <w:lang w:val="nb-NO"/>
        </w:rPr>
        <w:t>elayanan di rawat jalan sebagian besar masih dilayani oleh peserta didik. Mengatasi hal ini perlu diupayakan  melalui optimalisasi tenaga Dokter Spesialis sebagai Dokter Penanggung Jawab Pelayanan (DPJP) yang bertugas di Instalasi Rawat Jalan, sehingga waktu mulai jam pelayanan yang tidak terganggu oleh proses pendidikan atau kegiatan ilmiah di SMF serta peningkatan program rujukan balik untuk kasus-kasus yang dapat dilayani di PPK tingkat I dan II dapat terus ditingkatkan.</w:t>
      </w:r>
    </w:p>
    <w:p>
      <w:pPr>
        <w:spacing w:line="360" w:lineRule="auto"/>
        <w:ind w:firstLine="709"/>
        <w:jc w:val="both"/>
        <w:rPr>
          <w:rFonts w:cs="Arial"/>
          <w:color w:val="000000"/>
        </w:rPr>
      </w:pPr>
      <w:r>
        <w:rPr>
          <w:rFonts w:cs="Arial"/>
          <w:color w:val="000000"/>
          <w:lang w:val="nb-NO"/>
        </w:rPr>
        <w:t xml:space="preserve">Sarana, prasarana, serta alat yang kurang memadai termasuk akses menuju rawat jalan merupakan permasalahan lain yang masih ditemukan di rawat jalan. Penataan area yang terpisah antara area infeksi dan non infeksi perlu ditingkatkan di rawat jalan. Area </w:t>
      </w:r>
      <w:r>
        <w:rPr>
          <w:rFonts w:cs="Arial"/>
          <w:i/>
          <w:color w:val="000000"/>
          <w:lang w:val="nb-NO"/>
        </w:rPr>
        <w:t>dropping</w:t>
      </w:r>
      <w:r>
        <w:rPr>
          <w:rFonts w:cs="Arial"/>
          <w:color w:val="000000"/>
          <w:lang w:val="nb-NO"/>
        </w:rPr>
        <w:t xml:space="preserve"> pasien yang memadai, serta fasilitas ruang tunggu pasien yang lebih nyaman dan tertata tengah terus diupayakan di rawat jalan. Salah satu dampak jalan masuk menuju ruang pelayanan yang kurang memadai terlihat dari data p</w:t>
      </w:r>
      <w:r>
        <w:rPr>
          <w:rFonts w:cs="Arial"/>
          <w:color w:val="000000"/>
        </w:rPr>
        <w:t xml:space="preserve">elayanan Rehabilitasi Medik. Pelayanan Rehabilitasi Medik cenderung mengalami penurunan di 5 tahun terakhir. Pada tahun 2010 pelayanan rehabilitasi medik mencapai 32.262, sempat meningkat di tahun 2012 yaitu 30.241, kemudian menurun lagi dan di tahun 2013 mencapai 28.233. Pertumbuhan pelayanan rehabilitasi medik di tahun 2013 mencapai 0,93 dengan nilai 1. Pada semester I tahun 2014, pertumbuhan pelayanan rehabilitasi medik mencapai 0,7. Selain masalah jalan masuk yang kurang memadai karena sebagian kasus yang memerlukan layanan rehabilitasi medik adalah pasien-pasien dengan alat bantu untuk berjalan (contohnya: pasien </w:t>
      </w:r>
      <w:r>
        <w:rPr>
          <w:rFonts w:cs="Arial"/>
          <w:i/>
          <w:color w:val="000000"/>
        </w:rPr>
        <w:t>post stroke</w:t>
      </w:r>
      <w:r>
        <w:rPr>
          <w:rFonts w:cs="Arial"/>
          <w:color w:val="000000"/>
        </w:rPr>
        <w:t xml:space="preserve">), masalah mengenai administrasi dan paket layanan rehabilitasi medik di awal masa pelaksanaan JKN ini sempat mengalami beberapa kendala. Kunjungan ulang untuk pasien rehabilitasi medik pada masa transisi pelaksanaan JKN dihitung sebagai satu kunjungan untuk beberapa kali kunjungan layanan rehabilitasi medik karena dianggap sebagai satu paket layanan. Untuk mengatasi hal ini, telah dilakukan koordinasi dengan BPJS dan juga </w:t>
      </w:r>
      <w:r>
        <w:rPr>
          <w:rFonts w:cs="Arial"/>
          <w:i/>
          <w:color w:val="000000"/>
        </w:rPr>
        <w:t>road show</w:t>
      </w:r>
      <w:r>
        <w:rPr>
          <w:rFonts w:cs="Arial"/>
          <w:color w:val="000000"/>
        </w:rPr>
        <w:t xml:space="preserve"> sosialisasi di SMF dan Instalasi mengenai pelayanan JKN. Pengembangan layanan rehabilitasi medik perlu terus ditingkatkan baik sarana, prasarana dan alat, termasuk untuk menunjang dan meningkatkan pelayanan terpadu seperti pada kasus penyakit jantung, geriatri, dll.</w:t>
      </w:r>
    </w:p>
    <w:p>
      <w:pPr>
        <w:spacing w:line="360" w:lineRule="auto"/>
        <w:ind w:firstLine="709"/>
        <w:jc w:val="both"/>
        <w:rPr>
          <w:rFonts w:cs="Arial"/>
          <w:color w:val="000000"/>
          <w:lang w:val="nb-NO"/>
        </w:rPr>
      </w:pPr>
      <w:r>
        <w:rPr>
          <w:rFonts w:cs="Arial"/>
          <w:color w:val="000000"/>
          <w:lang w:val="nb-NO"/>
        </w:rPr>
        <w:t>Permasalahan lain di rawat jalan adalah, beberapa pelayanan klinik spesialis masih dilaksanakan di bagian masing-masing, sehingga tersebar dan belum terintegrasi dengan Instalasi Rawat Jalan. Untuk itu, perlu segera direalisasikan pelayanan rawat jalan terpadu agar koordinasi, pengelolaan sarana prasarana alat dan SDM, serta pelaporan dan evaluasi monitoring dapat dilaksanakan dengan lebih baik.</w:t>
      </w:r>
    </w:p>
    <w:p>
      <w:pPr>
        <w:spacing w:line="360" w:lineRule="auto"/>
        <w:ind w:firstLine="709"/>
        <w:jc w:val="both"/>
        <w:rPr>
          <w:rFonts w:cs="Arial"/>
          <w:color w:val="000000"/>
          <w:lang w:val="nb-NO"/>
        </w:rPr>
      </w:pPr>
      <w:r>
        <w:rPr>
          <w:rFonts w:cs="Arial"/>
          <w:color w:val="000000"/>
          <w:lang w:val="nb-NO"/>
        </w:rPr>
        <w:t xml:space="preserve">Di samping itu, di RSHS pelayanan rawat jalan terpadu untuk kasus-kasus yang memerlukan pelayanan multidisiplin diharapkan terus dikembangkan, termasuk pelayanan spesifik berdasarkan usia atau organ, seperti </w:t>
      </w:r>
      <w:r>
        <w:rPr>
          <w:rFonts w:cs="Arial"/>
          <w:i/>
          <w:color w:val="000000"/>
          <w:lang w:val="nb-NO"/>
        </w:rPr>
        <w:t>Woman Health Care</w:t>
      </w:r>
      <w:r>
        <w:rPr>
          <w:rFonts w:cs="Arial"/>
          <w:color w:val="000000"/>
          <w:lang w:val="nb-NO"/>
        </w:rPr>
        <w:t xml:space="preserve">, pelayanan usia remaja, </w:t>
      </w:r>
      <w:r>
        <w:rPr>
          <w:rFonts w:cs="Arial"/>
          <w:i/>
          <w:color w:val="000000"/>
          <w:lang w:val="nb-NO"/>
        </w:rPr>
        <w:t>Fetomaternal Diagnostic</w:t>
      </w:r>
      <w:r>
        <w:rPr>
          <w:rFonts w:cs="Arial"/>
          <w:color w:val="000000"/>
          <w:lang w:val="nb-NO"/>
        </w:rPr>
        <w:t xml:space="preserve">, dll. Pelayanan untuk mendukung program pemerintah </w:t>
      </w:r>
      <w:r>
        <w:rPr>
          <w:rFonts w:cs="Arial"/>
          <w:i/>
          <w:color w:val="000000"/>
          <w:lang w:val="nb-NO"/>
        </w:rPr>
        <w:t>Millenium Development Goals</w:t>
      </w:r>
      <w:r>
        <w:rPr>
          <w:rFonts w:cs="Arial"/>
          <w:color w:val="000000"/>
          <w:lang w:val="nb-NO"/>
        </w:rPr>
        <w:t xml:space="preserve">(MDGs), seperti pelayanan </w:t>
      </w:r>
      <w:r>
        <w:rPr>
          <w:rFonts w:cs="Arial"/>
          <w:i/>
          <w:color w:val="000000"/>
          <w:lang w:val="nb-NO"/>
        </w:rPr>
        <w:t xml:space="preserve">Human Immunodeficiency Virus </w:t>
      </w:r>
      <w:r>
        <w:rPr>
          <w:rFonts w:cs="Arial"/>
          <w:color w:val="000000"/>
          <w:lang w:val="nb-NO"/>
        </w:rPr>
        <w:t xml:space="preserve">(HIV) dan </w:t>
      </w:r>
      <w:r>
        <w:rPr>
          <w:rFonts w:cs="Arial"/>
          <w:i/>
          <w:color w:val="000000"/>
          <w:lang w:val="nb-NO"/>
        </w:rPr>
        <w:t xml:space="preserve">Tuberculosis Multi Drugs Resistance </w:t>
      </w:r>
      <w:r>
        <w:rPr>
          <w:rFonts w:cs="Arial"/>
          <w:color w:val="000000"/>
          <w:lang w:val="nb-NO"/>
        </w:rPr>
        <w:t xml:space="preserve">(TB MDR) yang selama ini sudah berjalan juga perlu terus ditingkatkan. Selanjutnya pelayanan sel punca atau </w:t>
      </w:r>
      <w:r>
        <w:rPr>
          <w:rFonts w:cs="Arial"/>
          <w:i/>
          <w:color w:val="000000"/>
          <w:lang w:val="nb-NO"/>
        </w:rPr>
        <w:t>stem cell</w:t>
      </w:r>
      <w:r>
        <w:rPr>
          <w:rFonts w:cs="Arial"/>
          <w:color w:val="000000"/>
          <w:lang w:val="nb-NO"/>
        </w:rPr>
        <w:t xml:space="preserve"> perlu dikembangkan di RSHS sebagai PPK tingkat III.</w:t>
      </w:r>
    </w:p>
    <w:p>
      <w:pPr>
        <w:pStyle w:val="28"/>
        <w:numPr>
          <w:ilvl w:val="0"/>
          <w:numId w:val="5"/>
        </w:numPr>
        <w:spacing w:after="0" w:line="360" w:lineRule="auto"/>
        <w:ind w:left="284" w:hanging="284"/>
        <w:jc w:val="both"/>
        <w:rPr>
          <w:rFonts w:cs="Arial"/>
          <w:b/>
          <w:color w:val="000000"/>
        </w:rPr>
      </w:pPr>
      <w:r>
        <w:rPr>
          <w:rFonts w:cs="Arial"/>
          <w:b/>
          <w:color w:val="000000"/>
        </w:rPr>
        <w:t>Pelayanan Gawat Darurat</w:t>
      </w:r>
    </w:p>
    <w:p>
      <w:pPr>
        <w:tabs>
          <w:tab w:val="left" w:pos="810"/>
        </w:tabs>
        <w:spacing w:line="360" w:lineRule="auto"/>
        <w:ind w:firstLine="709"/>
        <w:jc w:val="both"/>
      </w:pPr>
      <w:r>
        <w:rPr>
          <w:rFonts w:cs="Arial"/>
          <w:bCs/>
          <w:color w:val="000000"/>
          <w:lang w:val="sv-SE"/>
        </w:rPr>
        <w:t xml:space="preserve">Jumlah kunjungan di Instalasi Gawat Darurat (IGD) selama lima tahun terakhir menunjukan fluktuasi. Total  kunjungan di IGD RSHS pada tahun 2010 mencapai 45.437, dan di tahun 2013 mencapai 43.903.  </w:t>
      </w:r>
      <w:r>
        <w:rPr>
          <w:rFonts w:cs="Arial"/>
          <w:color w:val="000000"/>
        </w:rPr>
        <w:t xml:space="preserve">Pada tahun 2012 rata-rata kunjungan rawat  darurat/hari  adalah 118 kunjungan, meningkat pada tahun 2013 tercapai 120 kunjungan/hari, sehingga pertumbuhan rata-rata kunjungan rawat darurat adalah 1.02, dengan nilai 1,5. </w:t>
      </w:r>
      <w:r>
        <w:t>Pada Triwulan I tahun 2014, kunjungan pasien di IGD RSHS menurun, dengan pertumbuhan rata-rata 0,95. Namun masih mencapai target tahun 2014 yaitu dengan nilai 1,25.</w:t>
      </w:r>
    </w:p>
    <w:p>
      <w:pPr>
        <w:spacing w:line="360" w:lineRule="auto"/>
        <w:ind w:firstLine="709"/>
        <w:jc w:val="both"/>
        <w:rPr>
          <w:rFonts w:cs="Arial"/>
          <w:color w:val="000000"/>
        </w:rPr>
      </w:pPr>
      <w:r>
        <w:rPr>
          <w:rFonts w:cs="Arial"/>
          <w:color w:val="000000"/>
        </w:rPr>
        <w:t xml:space="preserve">Penurunan pada triwulan I tahun 2014 dipengaruhi oleh penataan pelayanan di IGD, dimana beban pelayanan IGD yang semula cukup tinggi untuk kasus-kasus </w:t>
      </w:r>
      <w:r>
        <w:rPr>
          <w:rFonts w:cs="Arial"/>
          <w:i/>
          <w:color w:val="000000"/>
        </w:rPr>
        <w:t>false emergency</w:t>
      </w:r>
      <w:r>
        <w:rPr>
          <w:rFonts w:cs="Arial"/>
          <w:color w:val="000000"/>
        </w:rPr>
        <w:t xml:space="preserve"> terus dikurangi dengan adanya sistem triase berbasis bukti yang mengutamakan pelayanan IGD untuk pasien </w:t>
      </w:r>
      <w:r>
        <w:rPr>
          <w:rFonts w:cs="Arial"/>
          <w:i/>
          <w:color w:val="000000"/>
        </w:rPr>
        <w:t>true emergency</w:t>
      </w:r>
      <w:r>
        <w:rPr>
          <w:rFonts w:cs="Arial"/>
          <w:color w:val="000000"/>
        </w:rPr>
        <w:t xml:space="preserve">. Pada tahun 2013, pasien dari rawat jalan yang dikirim ke IGD sebanyak 3,41% menurun pada triwulan I tahun 2014 yaitu sebesar 2,45%. Sebagian dari pasien yang dirujuk dari rawat jalan adalah pasien </w:t>
      </w:r>
      <w:r>
        <w:rPr>
          <w:rFonts w:cs="Arial"/>
          <w:i/>
          <w:color w:val="000000"/>
        </w:rPr>
        <w:t>false emergency</w:t>
      </w:r>
      <w:r>
        <w:rPr>
          <w:rFonts w:cs="Arial"/>
          <w:color w:val="000000"/>
        </w:rPr>
        <w:t xml:space="preserve"> dengan kebutuhan layanan rawat inap namun belum tersedia ruang rawat inap. Ke depan, kualitas skrining/triase di IGD ini masih perlu ditingkatkan. Di samping itu, penurunan ini dikarenakan pada pelaksanaan JKN, peran PPK II dan PPK I untuk melayani pasien sesuai dengan rujukan berjenjang terus ditingkatkan. Hal ini tampak dari data yang menunjukkan rujukan dari rumah sakit lain pada tahun 2013 sebesar 27,37% menurun dibandingkan triwulan I tahun 2014 yaitu sebesar 25,32%, Demikian juga kasus yang dikirim dari puskesmas menurun dibandingkan tahun 2013, yaitu sebesar 4,20% pada tahun 2013 menjadi 2,16% pada triwulan I tahun 2014.</w:t>
      </w:r>
    </w:p>
    <w:p>
      <w:pPr>
        <w:spacing w:line="360" w:lineRule="auto"/>
        <w:ind w:firstLine="709"/>
        <w:jc w:val="both"/>
        <w:rPr>
          <w:rFonts w:cs="Arial"/>
          <w:color w:val="000000"/>
        </w:rPr>
      </w:pPr>
      <w:r>
        <w:rPr>
          <w:rFonts w:cs="Arial"/>
          <w:color w:val="000000"/>
        </w:rPr>
        <w:t xml:space="preserve">Indikator </w:t>
      </w:r>
      <w:r>
        <w:rPr>
          <w:rFonts w:cs="Arial"/>
          <w:i/>
          <w:color w:val="000000"/>
        </w:rPr>
        <w:t xml:space="preserve">emergency response time rate </w:t>
      </w:r>
      <w:r>
        <w:rPr>
          <w:rFonts w:cs="Arial"/>
          <w:color w:val="000000"/>
        </w:rPr>
        <w:t>pelayanan di IGD RSHS dalam 5 tahun terakhir sudah mencapai standard, dengan capaian</w:t>
      </w:r>
      <w:r>
        <w:rPr>
          <w:rFonts w:cs="Arial"/>
          <w:color w:val="000000"/>
          <w:lang w:val="id-ID"/>
        </w:rPr>
        <w:t xml:space="preserve"> </w:t>
      </w:r>
      <w:r>
        <w:rPr>
          <w:rFonts w:cs="Arial"/>
          <w:color w:val="000000"/>
        </w:rPr>
        <w:t>&lt;5 menit, nilai 2 (standard&lt;8 menit).</w:t>
      </w:r>
    </w:p>
    <w:p>
      <w:pPr>
        <w:spacing w:line="360" w:lineRule="auto"/>
        <w:ind w:firstLine="709"/>
        <w:jc w:val="both"/>
        <w:rPr>
          <w:rFonts w:cs="Arial"/>
          <w:color w:val="000000"/>
        </w:rPr>
      </w:pPr>
      <w:r>
        <w:rPr>
          <w:b/>
          <w:sz w:val="44"/>
          <w:szCs w:val="44"/>
          <w:lang w:val="id-ID" w:eastAsia="id-ID"/>
        </w:rPr>
        <w:drawing>
          <wp:anchor distT="0" distB="0" distL="114300" distR="114300" simplePos="0" relativeHeight="251658240" behindDoc="0" locked="0" layoutInCell="1" allowOverlap="1">
            <wp:simplePos x="0" y="0"/>
            <wp:positionH relativeFrom="column">
              <wp:posOffset>727075</wp:posOffset>
            </wp:positionH>
            <wp:positionV relativeFrom="paragraph">
              <wp:posOffset>-21050885</wp:posOffset>
            </wp:positionV>
            <wp:extent cx="2228215" cy="467360"/>
            <wp:effectExtent l="0" t="0" r="63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cstate="screen"/>
                    <a:srcRect t="31693" r="8117" b="32727"/>
                    <a:stretch>
                      <a:fillRect/>
                    </a:stretch>
                  </pic:blipFill>
                  <pic:spPr>
                    <a:xfrm>
                      <a:off x="0" y="0"/>
                      <a:ext cx="2228215" cy="467360"/>
                    </a:xfrm>
                    <a:prstGeom prst="rect">
                      <a:avLst/>
                    </a:prstGeom>
                    <a:noFill/>
                    <a:ln>
                      <a:noFill/>
                    </a:ln>
                  </pic:spPr>
                </pic:pic>
              </a:graphicData>
            </a:graphic>
          </wp:anchor>
        </w:drawing>
      </w:r>
      <w:r>
        <w:rPr>
          <w:rFonts w:cs="Arial"/>
          <w:color w:val="000000"/>
        </w:rPr>
        <w:t xml:space="preserve">Permasalahan utama untuk pelayanan di IGD adalah stagnasi pasien di IGD yang masih cukup tinggi setiap harinya. Hasil kajian menunjukan penyebab stagnasi tersebut sebagian besar dikarenakan tidak tersedianya ruangan rawat inap yang dibutuhkan oleh pasien, terutama untuk kasus-kasus yang membutuhkan ruang perawatan intensif dan </w:t>
      </w:r>
      <w:r>
        <w:rPr>
          <w:rFonts w:cs="Arial"/>
          <w:i/>
          <w:color w:val="000000"/>
        </w:rPr>
        <w:t>high care</w:t>
      </w:r>
      <w:r>
        <w:rPr>
          <w:rFonts w:cs="Arial"/>
          <w:color w:val="000000"/>
        </w:rPr>
        <w:t xml:space="preserve">. BOR rawat intensif RSHS menunjukan angka yang sangat tinggi selalu melampaui 90%.  Di samping itu, kebutuhan kelas perawatan menunjukan trend semakin tingginya kebutuhan perawatan kelas I dan II. Selain karena ketersediaan ruang rawat, masalah stagnasi juga dipengaruhi oleh </w:t>
      </w:r>
      <w:r>
        <w:rPr>
          <w:rFonts w:cs="Arial"/>
          <w:i/>
          <w:color w:val="000000"/>
        </w:rPr>
        <w:t>decision time</w:t>
      </w:r>
      <w:r>
        <w:rPr>
          <w:rFonts w:cs="Arial"/>
          <w:color w:val="000000"/>
        </w:rPr>
        <w:t xml:space="preserve"> di IGD. Untuk itu optimalisasi fungsi dokter spesialis on site di IGD perlu terus ditingkatkan.</w:t>
      </w:r>
    </w:p>
    <w:p>
      <w:pPr>
        <w:spacing w:line="360" w:lineRule="auto"/>
        <w:ind w:firstLine="709"/>
        <w:jc w:val="both"/>
        <w:rPr>
          <w:rFonts w:cs="Arial"/>
          <w:color w:val="000000"/>
        </w:rPr>
      </w:pPr>
      <w:r>
        <w:rPr>
          <w:rFonts w:cs="Arial"/>
          <w:color w:val="000000"/>
        </w:rPr>
        <w:t>Angka kematian gawat darurat di RSHS pada tahun 2013 adalah 2,22%, dengan nilai 2, sudah mencapai nilai standard</w:t>
      </w:r>
      <w:r>
        <w:rPr>
          <w:rFonts w:cs="Arial"/>
          <w:color w:val="000000"/>
          <w:lang w:val="id-ID"/>
        </w:rPr>
        <w:t xml:space="preserve"> </w:t>
      </w:r>
      <w:r>
        <w:rPr>
          <w:rFonts w:cs="Arial"/>
          <w:color w:val="000000"/>
        </w:rPr>
        <w:t>Badan Layanan Umum (BLU). Angka ini menunjukan penurunan jika dibandingkan dengan angka kematian gawat darurat di tahun sebelumnya (2012) yaitu 2,63%. Namun masalah yang masih sering dihadapi terkait dengan stagnasi pasien di IGD yaitu stagnasi pasien-pasien di ruang resusitasi IGD karena terbatasnya ruang rawat intensif untuk flow pasien dari ruang resusitasi. Hal ini seringkali menyebabkan kendala dalam penanganan kasus-kasus gawat darurat yang memerlukan penanganan di ruang resusitasi. Selain itu, alat-alat kesehatan di ruang resusitasi IGD juga perlu ditingkatkan agar pelayanan pasien gawat darurat yang memerlukan tindakan di ruang resusitasi dapat terlaksana dengan lebih optimal.</w:t>
      </w:r>
    </w:p>
    <w:p>
      <w:pPr>
        <w:pStyle w:val="28"/>
        <w:keepNext/>
        <w:numPr>
          <w:ilvl w:val="0"/>
          <w:numId w:val="5"/>
        </w:numPr>
        <w:spacing w:after="0" w:line="360" w:lineRule="auto"/>
        <w:ind w:left="284" w:hanging="284"/>
        <w:jc w:val="both"/>
        <w:rPr>
          <w:rFonts w:cs="Arial"/>
          <w:b/>
          <w:color w:val="000000"/>
        </w:rPr>
      </w:pPr>
      <w:r>
        <w:rPr>
          <w:rFonts w:cs="Arial"/>
          <w:b/>
          <w:color w:val="000000"/>
        </w:rPr>
        <w:t>Pelayanan Rawat Inap</w:t>
      </w:r>
    </w:p>
    <w:p>
      <w:pPr>
        <w:spacing w:line="360" w:lineRule="auto"/>
        <w:ind w:firstLine="709"/>
        <w:jc w:val="both"/>
        <w:rPr>
          <w:color w:val="000000"/>
        </w:rPr>
      </w:pPr>
      <w:r>
        <w:rPr>
          <w:rFonts w:cs="Arial"/>
          <w:color w:val="000000"/>
        </w:rPr>
        <w:t>Kinerja pelayanan rawat inap ditunjukan oleh beberapa indikator. Indikator hari perawatan RSHS di tahun 2010 sempat mengalami penurunan menjadi 282.821, namun cenderung meningkat terus menjadi 305.196 di tahun 2013. Pertumbuhan hari perawatan tahun 2013 mencapai 1,01 dengan capaian nilai 1,5. Namun pada triwulan I tahun 2014, p</w:t>
      </w:r>
      <w:r>
        <w:rPr>
          <w:color w:val="000000"/>
        </w:rPr>
        <w:t xml:space="preserve">ertumbuhan Hari Perawatan sebesar 0,94, dengan nilai berdasarkan standard BLU adalah 1.  Dengan demikian realisasi pertumbuhan Hari Perawatan belum mencapai target yang ditetapkan RSHS untuk tahun 2014 yaitu 1,25. </w:t>
      </w:r>
    </w:p>
    <w:p>
      <w:pPr>
        <w:spacing w:line="360" w:lineRule="auto"/>
        <w:ind w:firstLine="709"/>
        <w:jc w:val="both"/>
        <w:rPr>
          <w:rFonts w:cs="Arial"/>
          <w:color w:val="000000"/>
        </w:rPr>
      </w:pPr>
      <w:r>
        <w:rPr>
          <w:rFonts w:cs="Arial"/>
          <w:color w:val="000000"/>
        </w:rPr>
        <w:t xml:space="preserve">Indikator capaian </w:t>
      </w:r>
      <w:r>
        <w:rPr>
          <w:rFonts w:cs="Arial"/>
          <w:i/>
          <w:color w:val="000000"/>
        </w:rPr>
        <w:t xml:space="preserve">Bed Occupancy Rate </w:t>
      </w:r>
      <w:r>
        <w:rPr>
          <w:rFonts w:cs="Arial"/>
          <w:color w:val="000000"/>
        </w:rPr>
        <w:t xml:space="preserve">(BOR) rawat inap secara keseluruhan di RSHS terus mengalami peningkatan terutama dalam 4 tahun terakhir. Di tahun 2013 BOR mencapai 83,95% melampaui nilai standard BOR rumah sakit (60-80%).  BOR tertinggi terutama terjadi di perawatan intensif melampaui 90%. Pada Semester I tahun 2014 BOR mencapai 82,36% dengan capaian nilai 2. Peningkatan BOR di tahun 2013 dipengaruhi oleh beberapa hal, diantaranya secara jumlah pasien yang dirawat per hari mengalami peningkatan dari 801 pasien pada akhir tahun 2012 menjadi 829 pasien per hari pada akhir tahun 2013. Di samping itu, peningkatan BOR ini dipengaruhi pula oleh adanya perubahan kapasitas tempat tidur, semula 1124 di tahun 2011 dan 2012 menjadi 996 kapasitas tempat tidur RSHS. Perubahan kapasitas ini mempertimbangkan beberapa ruangan yang tidak memenuhi standard ruang rawat inap baik dari aspek sarana, prasarana, maupun jumlah SDM yang melayani, khususnya SDM perawat. Kapasitas Tempat Tidur di ruang transit IGD (Ruang Angsana/Suplemen </w:t>
      </w:r>
      <w:r>
        <w:rPr>
          <w:rFonts w:cs="Arial"/>
          <w:i/>
          <w:color w:val="000000"/>
        </w:rPr>
        <w:t>Wing</w:t>
      </w:r>
      <w:r>
        <w:rPr>
          <w:rFonts w:cs="Arial"/>
          <w:color w:val="000000"/>
        </w:rPr>
        <w:t xml:space="preserve"> IGD dan Ruang Rawat Gabung (RGB) tidak dimasukan ke dalam kapasitas tempat tidur mengingat ruangan tersebut sebagai ruang transit sementara sebelum ruang rawat definitif tersedia dan dalam pengelolaannya di bawah Instalasi Gawat Darurat bukan Instalasi Rawat Inap. </w:t>
      </w:r>
    </w:p>
    <w:p>
      <w:pPr>
        <w:spacing w:line="360" w:lineRule="auto"/>
        <w:ind w:firstLine="709"/>
        <w:jc w:val="both"/>
        <w:rPr>
          <w:rFonts w:cs="Arial"/>
          <w:color w:val="000000"/>
        </w:rPr>
      </w:pPr>
      <w:r>
        <w:rPr>
          <w:color w:val="000000"/>
        </w:rPr>
        <w:t>Berbagai u</w:t>
      </w:r>
      <w:r>
        <w:t xml:space="preserve">paya untuk terus meningkatkan produktivitas pelayanan khususnya pelayanan rawat inap terus ditingkatkan, baik berupa kebijakan, panduan dan SPO pelayanan rawat inap serta perbaikan dan peningkatan sarana, prasarana, alat kesehatan sesuai kebutuhan standardpelayanan rawat inap dan kelas perawatan. </w:t>
      </w:r>
      <w:r>
        <w:rPr>
          <w:rFonts w:cs="Arial"/>
          <w:color w:val="000000"/>
        </w:rPr>
        <w:t xml:space="preserve">Masalah lainnya untuk pelayanan rawat inap adalah penataan organisasi rawat inap, termasuk tata kelola dan SDM. Kebutuhan dan distribusi tenaga perawat untuk pelayanan rawat inap sesuai ratio standard juga masih belum terpenuhi. </w:t>
      </w:r>
    </w:p>
    <w:p>
      <w:pPr>
        <w:spacing w:line="360" w:lineRule="auto"/>
        <w:ind w:firstLine="709"/>
        <w:jc w:val="both"/>
        <w:rPr>
          <w:rFonts w:cs="Arial"/>
          <w:color w:val="000000"/>
        </w:rPr>
      </w:pPr>
      <w:r>
        <w:rPr>
          <w:rFonts w:cs="Arial"/>
          <w:color w:val="000000"/>
          <w:lang w:val="id-ID"/>
        </w:rPr>
        <w:t>S</w:t>
      </w:r>
      <w:r>
        <w:rPr>
          <w:rFonts w:cs="Arial"/>
          <w:color w:val="000000"/>
        </w:rPr>
        <w:t xml:space="preserve">eperti telah dijelaskan sebelumnya, masalah stagnasi pasien di IGD disebabkan karena keterbatasan ketersediaan ruang rawat inap yang dituju. Stagnasi ini terjadi di IGD maupun di ruang </w:t>
      </w:r>
      <w:r>
        <w:rPr>
          <w:rFonts w:cs="Arial"/>
          <w:i/>
          <w:color w:val="000000"/>
        </w:rPr>
        <w:t>recovery room</w:t>
      </w:r>
      <w:r>
        <w:rPr>
          <w:rFonts w:cs="Arial"/>
          <w:color w:val="000000"/>
        </w:rPr>
        <w:t xml:space="preserve"> Instalasi Bedah Sentral (IBS). Kebutuhan yang tinggi khususnya untuk ruang rawat intensif dan </w:t>
      </w:r>
      <w:r>
        <w:rPr>
          <w:rFonts w:cs="Arial"/>
          <w:i/>
          <w:color w:val="000000"/>
        </w:rPr>
        <w:t>high care</w:t>
      </w:r>
      <w:r>
        <w:rPr>
          <w:rFonts w:cs="Arial"/>
          <w:color w:val="000000"/>
        </w:rPr>
        <w:t xml:space="preserve">. Namun seiring dengan pelaksanaan pelayanan JKN di tahun 2014, kecenderungan stagnasi juga terjadi pada pasien yang membutuhkan perawatan kelas I dan II. Selain stagnasi pasien di IGD dan </w:t>
      </w:r>
      <w:r>
        <w:rPr>
          <w:rFonts w:cs="Arial"/>
          <w:i/>
          <w:color w:val="000000"/>
        </w:rPr>
        <w:t>Recovery Room</w:t>
      </w:r>
      <w:r>
        <w:rPr>
          <w:rFonts w:cs="Arial"/>
          <w:color w:val="000000"/>
        </w:rPr>
        <w:t xml:space="preserve"> IBS, ketersediaan ruang rawat inap menjadi masalah untuk pasien-pasien rawat jalan yang membutuhkan pelayanan rawat inap. Sampai saat ini, </w:t>
      </w:r>
      <w:r>
        <w:rPr>
          <w:rFonts w:cs="Arial"/>
          <w:i/>
          <w:color w:val="000000"/>
        </w:rPr>
        <w:t>waiting list</w:t>
      </w:r>
      <w:r>
        <w:rPr>
          <w:rFonts w:cs="Arial"/>
          <w:color w:val="000000"/>
        </w:rPr>
        <w:t xml:space="preserve"> di </w:t>
      </w:r>
      <w:r>
        <w:rPr>
          <w:rFonts w:cs="Arial"/>
          <w:i/>
          <w:color w:val="000000"/>
        </w:rPr>
        <w:t>admission</w:t>
      </w:r>
      <w:r>
        <w:rPr>
          <w:rFonts w:cs="Arial"/>
          <w:color w:val="000000"/>
        </w:rPr>
        <w:t xml:space="preserve"> yang menunggu ketersediaan ruang rawat sudah sangat panjang. Untuk beberapa operasi elektif diperlukan waktu tunggu sampai beberapa bulan untuk dapat dilakukan tindakan operasi, salah satunya karena masalah tidak tersedianya ruang rawat inap yang diperlukan.</w:t>
      </w:r>
    </w:p>
    <w:p>
      <w:pPr>
        <w:spacing w:line="360" w:lineRule="auto"/>
        <w:ind w:firstLine="709"/>
        <w:jc w:val="both"/>
        <w:rPr>
          <w:rFonts w:cs="Arial"/>
          <w:i/>
          <w:color w:val="000000"/>
        </w:rPr>
      </w:pPr>
      <w:r>
        <w:rPr>
          <w:rFonts w:cs="Arial"/>
          <w:color w:val="000000"/>
        </w:rPr>
        <w:t xml:space="preserve">Sementara untuk ratio tempat tidur kelas III, dalam 5 tahun terakhir RSHS sudah mencapai target. Capaian di tahun 2013 adalah 58,94% (nilai 2), angka ini jauh melampaui nilai standard yang ditetapkan yaitu sebesar&gt;30%. Kebutuhan kapasitas tempat tidur perawatan intensif berdasarkan perbandingan dengan total kapasitas tempat tidur di RSHS adalah sekitar 100 tempat tidur. Saat ini baru tersedia 35 tempat tidur rawat intensif. Pengembangan </w:t>
      </w:r>
      <w:r>
        <w:rPr>
          <w:rFonts w:cs="Arial"/>
          <w:i/>
          <w:color w:val="000000"/>
        </w:rPr>
        <w:t>high care unit</w:t>
      </w:r>
      <w:r>
        <w:rPr>
          <w:rFonts w:cs="Arial"/>
          <w:i/>
          <w:color w:val="000000"/>
          <w:lang w:val="id-ID"/>
        </w:rPr>
        <w:t xml:space="preserve"> </w:t>
      </w:r>
      <w:r>
        <w:rPr>
          <w:rFonts w:cs="Arial"/>
          <w:color w:val="000000"/>
        </w:rPr>
        <w:t>(HCU) juga terus ditingkatkan karena keterbatasan ruang rawat intensif, namun masih terkendala sarana prasarana dan alat yang tersedia. Saat ini tersedia 45 tempat HCU di RSHS. Kebutuhan ruang rawat kelas I dan II juga terus mengalami peningkatan, terutama pada era pelaksanaan pelayanan Jaminan Kesehatan Nasional, dimana terdapat kecenderungan kebutuhan yang meningkat untuk ruang perawatan kelas I dan II karena meningkatnya persentase pasien non PBI yang berubah status kepesertaan dari pasien umum atau asuransi menjadi peserta BPJS Kesehatan.</w:t>
      </w:r>
    </w:p>
    <w:p>
      <w:pPr>
        <w:spacing w:line="360" w:lineRule="auto"/>
        <w:ind w:firstLine="709"/>
        <w:jc w:val="both"/>
        <w:rPr>
          <w:rFonts w:cs="Arial"/>
          <w:color w:val="000000"/>
        </w:rPr>
      </w:pPr>
      <w:r>
        <w:rPr>
          <w:rFonts w:cs="Arial"/>
          <w:i/>
          <w:color w:val="000000"/>
        </w:rPr>
        <w:t>Average Length of Stay</w:t>
      </w:r>
      <w:r>
        <w:rPr>
          <w:rFonts w:cs="Arial"/>
          <w:color w:val="000000"/>
        </w:rPr>
        <w:t xml:space="preserve"> (ALOS) atau rata-rata lama dirawat seorang pasien selama 5 tahun terakhir berfluktuasi namun sudah mencapai angka ideal (6-9 hari). ALOS tahun 2013 telah mencapai 5 hari, dan pada triwulan I tahun 2014 mencapai 7 hari dengan nilai 2. Walaupun demikian, secara umum pelaksanaan </w:t>
      </w:r>
      <w:r>
        <w:rPr>
          <w:rFonts w:cs="Arial"/>
          <w:i/>
          <w:color w:val="000000"/>
        </w:rPr>
        <w:t>clinical pathway</w:t>
      </w:r>
      <w:r>
        <w:rPr>
          <w:rFonts w:cs="Arial"/>
          <w:color w:val="000000"/>
        </w:rPr>
        <w:t xml:space="preserve"> yang salah satunya untuk pengendalian ALOS pelayanan rawat inap di RSHS dinilai belum optimal. Untuk itu, upaya pelaksanaan serta monitoring dan evaluasi </w:t>
      </w:r>
      <w:r>
        <w:rPr>
          <w:rFonts w:cs="Arial"/>
          <w:i/>
          <w:color w:val="000000"/>
        </w:rPr>
        <w:t>clinical pathway</w:t>
      </w:r>
      <w:r>
        <w:rPr>
          <w:rFonts w:cs="Arial"/>
          <w:color w:val="000000"/>
        </w:rPr>
        <w:t xml:space="preserve"> di RSHS perlu terus ditingatkan, sebagai acuan untuk kendali mutu pelayanan yang dilaksanakan.</w:t>
      </w:r>
    </w:p>
    <w:p>
      <w:pPr>
        <w:spacing w:line="360" w:lineRule="auto"/>
        <w:ind w:firstLine="709"/>
        <w:jc w:val="both"/>
        <w:rPr>
          <w:b/>
          <w:bCs/>
          <w:szCs w:val="18"/>
        </w:rPr>
      </w:pPr>
      <w:r>
        <w:rPr>
          <w:rFonts w:cs="Arial"/>
          <w:color w:val="000000"/>
        </w:rPr>
        <w:t>Indikator kematian 48 jam (</w:t>
      </w:r>
      <w:r>
        <w:rPr>
          <w:rFonts w:cs="Arial"/>
          <w:i/>
          <w:color w:val="000000"/>
        </w:rPr>
        <w:t>Net Death Rate</w:t>
      </w:r>
      <w:r>
        <w:rPr>
          <w:rFonts w:cs="Arial"/>
          <w:color w:val="000000"/>
        </w:rPr>
        <w:t xml:space="preserve">) di RSHS juga masih menjadi masalah. Dalam lima tahun terakhir </w:t>
      </w:r>
      <w:r>
        <w:rPr>
          <w:rFonts w:cs="Arial"/>
          <w:i/>
          <w:color w:val="000000"/>
          <w:lang w:val="it-IT"/>
        </w:rPr>
        <w:t>Net death rate</w:t>
      </w:r>
      <w:r>
        <w:rPr>
          <w:rFonts w:cs="Arial"/>
          <w:color w:val="000000"/>
          <w:lang w:val="it-IT"/>
        </w:rPr>
        <w:t xml:space="preserve"> (NDR) </w:t>
      </w:r>
      <w:r>
        <w:rPr>
          <w:rFonts w:cs="Arial"/>
          <w:color w:val="000000"/>
        </w:rPr>
        <w:t>di RSHS menunjukkan angka yang cukup tinggi.</w:t>
      </w:r>
      <w:r>
        <w:rPr>
          <w:rFonts w:cs="Arial"/>
          <w:color w:val="000000"/>
          <w:lang w:val="it-IT"/>
        </w:rPr>
        <w:t>NDRselama periode tahun 2010-2013 berfluktuasi mulai dari 4,79;% 4,07%; 3,4%; 3,95%. Pada triwulan I tahun 2014, NDR RSHS meningkat menjadi 5,53%, sedangkan angka idealnya adalah&lt;2,5%.</w:t>
      </w:r>
    </w:p>
    <w:p>
      <w:pPr>
        <w:pStyle w:val="9"/>
        <w:keepNext/>
        <w:rPr>
          <w:lang w:val="id-ID"/>
        </w:rPr>
      </w:pPr>
      <w:bookmarkStart w:id="16" w:name="_Toc430523086"/>
      <w:r>
        <w:t xml:space="preserve">Tabel 2. </w:t>
      </w:r>
      <w:r>
        <w:fldChar w:fldCharType="begin"/>
      </w:r>
      <w:r>
        <w:instrText xml:space="preserve"> SEQ Tabel_2. \* ARABIC </w:instrText>
      </w:r>
      <w:r>
        <w:fldChar w:fldCharType="separate"/>
      </w:r>
      <w:r>
        <w:t>4</w:t>
      </w:r>
      <w:r>
        <w:fldChar w:fldCharType="end"/>
      </w:r>
      <w:r>
        <w:t xml:space="preserve">  NDR per ruangan Semester I 2014</w:t>
      </w:r>
      <w:bookmarkEnd w:id="16"/>
    </w:p>
    <w:p>
      <w:pPr>
        <w:pStyle w:val="28"/>
        <w:tabs>
          <w:tab w:val="left" w:pos="1418"/>
        </w:tabs>
        <w:spacing w:after="0" w:line="240" w:lineRule="auto"/>
        <w:ind w:left="0"/>
        <w:jc w:val="center"/>
        <w:rPr>
          <w:b/>
          <w:bCs/>
        </w:rPr>
        <w:sectPr>
          <w:type w:val="continuous"/>
          <w:pgSz w:w="16839" w:h="11907" w:orient="landscape"/>
          <w:pgMar w:top="1440" w:right="1440" w:bottom="1440" w:left="1440" w:header="720" w:footer="60" w:gutter="0"/>
          <w:cols w:space="720" w:num="1"/>
          <w:docGrid w:linePitch="360" w:charSpace="0"/>
        </w:sectPr>
      </w:pPr>
    </w:p>
    <w:tbl>
      <w:tblPr>
        <w:tblStyle w:val="47"/>
        <w:tblW w:w="5137" w:type="dxa"/>
        <w:jc w:val="center"/>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
      <w:tblGrid>
        <w:gridCol w:w="662"/>
        <w:gridCol w:w="3014"/>
        <w:gridCol w:w="1461"/>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35" w:hRule="atLeast"/>
          <w:tblHeader/>
          <w:jc w:val="center"/>
        </w:trPr>
        <w:tc>
          <w:tcPr>
            <w:tcW w:w="662" w:type="dxa"/>
            <w:tcBorders>
              <w:top w:val="single" w:color="259073" w:themeColor="accent2" w:sz="4" w:space="0"/>
              <w:left w:val="single" w:color="259073" w:themeColor="accent2" w:sz="4" w:space="0"/>
              <w:bottom w:val="single" w:color="259073" w:themeColor="accent2" w:sz="4" w:space="0"/>
              <w:right w:val="single" w:color="259073" w:themeColor="accent2" w:sz="4" w:space="0"/>
            </w:tcBorders>
            <w:shd w:val="clear" w:color="auto" w:fill="auto"/>
          </w:tcPr>
          <w:p>
            <w:pPr>
              <w:pStyle w:val="28"/>
              <w:tabs>
                <w:tab w:val="left" w:pos="1418"/>
              </w:tabs>
              <w:spacing w:after="0" w:line="240" w:lineRule="auto"/>
              <w:ind w:left="0"/>
              <w:jc w:val="center"/>
              <w:rPr>
                <w:sz w:val="22"/>
              </w:rPr>
            </w:pPr>
            <w:r>
              <w:rPr>
                <w:b/>
                <w:bCs/>
                <w:sz w:val="22"/>
              </w:rPr>
              <w:t>NO</w:t>
            </w:r>
          </w:p>
        </w:tc>
        <w:tc>
          <w:tcPr>
            <w:tcW w:w="3014" w:type="dxa"/>
            <w:tcBorders>
              <w:top w:val="single" w:color="259073" w:themeColor="accent2" w:sz="4" w:space="0"/>
              <w:left w:val="single" w:color="259073" w:themeColor="accent2" w:sz="4" w:space="0"/>
              <w:bottom w:val="single" w:color="259073" w:themeColor="accent2" w:sz="4" w:space="0"/>
              <w:right w:val="single" w:color="259073" w:themeColor="accent2" w:sz="4" w:space="0"/>
            </w:tcBorders>
            <w:shd w:val="clear" w:color="auto" w:fill="auto"/>
          </w:tcPr>
          <w:p>
            <w:pPr>
              <w:pStyle w:val="28"/>
              <w:tabs>
                <w:tab w:val="left" w:pos="1418"/>
              </w:tabs>
              <w:spacing w:after="0" w:line="240" w:lineRule="auto"/>
              <w:ind w:left="-72"/>
              <w:jc w:val="center"/>
              <w:rPr>
                <w:sz w:val="22"/>
              </w:rPr>
            </w:pPr>
            <w:r>
              <w:rPr>
                <w:b/>
                <w:bCs/>
                <w:sz w:val="22"/>
              </w:rPr>
              <w:t>RUANGAN</w:t>
            </w:r>
          </w:p>
        </w:tc>
        <w:tc>
          <w:tcPr>
            <w:tcW w:w="1461" w:type="dxa"/>
            <w:tcBorders>
              <w:top w:val="single" w:color="259073" w:themeColor="accent2" w:sz="4" w:space="0"/>
              <w:left w:val="single" w:color="259073" w:themeColor="accent2" w:sz="4" w:space="0"/>
              <w:bottom w:val="single" w:color="259073" w:themeColor="accent2" w:sz="4" w:space="0"/>
              <w:right w:val="single" w:color="259073" w:themeColor="accent2" w:sz="4" w:space="0"/>
            </w:tcBorders>
            <w:shd w:val="clear" w:color="auto" w:fill="auto"/>
          </w:tcPr>
          <w:p>
            <w:pPr>
              <w:pStyle w:val="28"/>
              <w:tabs>
                <w:tab w:val="left" w:pos="1418"/>
              </w:tabs>
              <w:spacing w:after="0" w:line="240" w:lineRule="auto"/>
              <w:ind w:left="0"/>
              <w:jc w:val="center"/>
              <w:rPr>
                <w:sz w:val="22"/>
              </w:rPr>
            </w:pPr>
            <w:r>
              <w:rPr>
                <w:b/>
                <w:bCs/>
                <w:sz w:val="22"/>
              </w:rPr>
              <w:t>NDR</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23" w:hRule="atLeast"/>
          <w:jc w:val="center"/>
        </w:trPr>
        <w:tc>
          <w:tcPr>
            <w:tcW w:w="662" w:type="dxa"/>
            <w:tcBorders>
              <w:top w:val="single" w:color="259073" w:themeColor="accent2" w:sz="4" w:space="0"/>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 </w:t>
            </w:r>
          </w:p>
        </w:tc>
        <w:tc>
          <w:tcPr>
            <w:tcW w:w="3014" w:type="dxa"/>
            <w:tcBorders>
              <w:top w:val="single" w:color="259073" w:themeColor="accent2" w:sz="4" w:space="0"/>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ICU</w:t>
            </w:r>
          </w:p>
        </w:tc>
        <w:tc>
          <w:tcPr>
            <w:tcW w:w="1461" w:type="dxa"/>
            <w:tcBorders>
              <w:top w:val="single" w:color="259073" w:themeColor="accent2" w:sz="4" w:space="0"/>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40.93</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NICU</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33.33</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3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HCU RIK</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32.56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4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UNIT LUKA BAKAR</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color w:val="000000"/>
              </w:rPr>
              <w:t>32.14</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5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MIC FRESIA</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28.07</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6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PICU</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24.49</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7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NCCU</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19.81</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8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FLAMBOYAN</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18.75</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9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LT.1</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14.24</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10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AZALEA</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13.66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43"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11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HCU KEMUNING</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11.88</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18"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12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LT.5 ( WING B)</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10.66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single" w:color="259073" w:themeColor="accent2" w:sz="4" w:space="0"/>
              <w:right w:val="single" w:color="259073" w:themeColor="accent2" w:sz="4" w:space="0"/>
            </w:tcBorders>
            <w:shd w:val="clear" w:color="auto" w:fill="ECCF74"/>
          </w:tcPr>
          <w:p>
            <w:pPr>
              <w:pStyle w:val="28"/>
              <w:tabs>
                <w:tab w:val="left" w:pos="1418"/>
              </w:tabs>
              <w:spacing w:after="0" w:line="240" w:lineRule="auto"/>
              <w:ind w:left="113"/>
              <w:jc w:val="both"/>
            </w:pPr>
            <w:r>
              <w:t xml:space="preserve">13 </w:t>
            </w:r>
          </w:p>
        </w:tc>
        <w:tc>
          <w:tcPr>
            <w:tcW w:w="3014" w:type="dxa"/>
            <w:tcBorders>
              <w:top w:val="nil"/>
              <w:left w:val="single" w:color="259073" w:themeColor="accent2" w:sz="4" w:space="0"/>
              <w:bottom w:val="single" w:color="259073" w:themeColor="accent2" w:sz="4" w:space="0"/>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PARAHYANGAN LT.2</w:t>
            </w:r>
          </w:p>
        </w:tc>
        <w:tc>
          <w:tcPr>
            <w:tcW w:w="1461" w:type="dxa"/>
            <w:tcBorders>
              <w:top w:val="nil"/>
              <w:left w:val="single" w:color="259073" w:themeColor="accent2" w:sz="4" w:space="0"/>
              <w:bottom w:val="single" w:color="259073" w:themeColor="accent2" w:sz="4" w:space="0"/>
              <w:right w:val="single" w:color="259073" w:themeColor="accent2" w:sz="4" w:space="0"/>
            </w:tcBorders>
            <w:shd w:val="clear" w:color="auto" w:fill="ECCF74"/>
            <w:vAlign w:val="center"/>
          </w:tcPr>
          <w:p>
            <w:pPr>
              <w:pStyle w:val="28"/>
              <w:tabs>
                <w:tab w:val="left" w:pos="1418"/>
              </w:tabs>
              <w:spacing w:after="0" w:line="240" w:lineRule="auto"/>
              <w:ind w:left="0"/>
              <w:jc w:val="center"/>
            </w:pPr>
            <w:r>
              <w:rPr>
                <w:b/>
                <w:bCs/>
                <w:color w:val="000000"/>
              </w:rPr>
              <w:t>5.78</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single" w:color="259073" w:themeColor="accent2" w:sz="4" w:space="0"/>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14 </w:t>
            </w:r>
          </w:p>
        </w:tc>
        <w:tc>
          <w:tcPr>
            <w:tcW w:w="3014" w:type="dxa"/>
            <w:tcBorders>
              <w:top w:val="single" w:color="259073" w:themeColor="accent2" w:sz="4" w:space="0"/>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FRESIA LT.3 (MAWAR)</w:t>
            </w:r>
          </w:p>
        </w:tc>
        <w:tc>
          <w:tcPr>
            <w:tcW w:w="1461" w:type="dxa"/>
            <w:tcBorders>
              <w:top w:val="single" w:color="259073" w:themeColor="accent2" w:sz="4" w:space="0"/>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5.75</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15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AGLONEMA</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5.52</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16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LT.2 (WING A)</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5.39</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17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KENANGA 1</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5.39</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18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FRESIA LT.1 (ANYELIR)</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5.17</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19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CICU</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4.71</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20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LT.4 (WING B)</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4.46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21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LT.4 (WING B)</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4.46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22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FRESIA LT.2 (MELATI)</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3.76</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84"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23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LT.3 (WING A)</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3.59</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337" w:hRule="atLeast"/>
          <w:jc w:val="center"/>
        </w:trPr>
        <w:tc>
          <w:tcPr>
            <w:tcW w:w="662" w:type="dxa"/>
            <w:tcBorders>
              <w:top w:val="nil"/>
              <w:left w:val="single" w:color="259073" w:themeColor="accent2" w:sz="4" w:space="0"/>
              <w:bottom w:val="nil"/>
              <w:right w:val="single" w:color="259073" w:themeColor="accent2" w:sz="4" w:space="0"/>
            </w:tcBorders>
            <w:shd w:val="clear" w:color="auto" w:fill="ECCF74"/>
          </w:tcPr>
          <w:p>
            <w:pPr>
              <w:pStyle w:val="28"/>
              <w:tabs>
                <w:tab w:val="left" w:pos="1418"/>
              </w:tabs>
              <w:spacing w:after="0" w:line="240" w:lineRule="auto"/>
              <w:ind w:left="113"/>
              <w:jc w:val="both"/>
            </w:pPr>
            <w:r>
              <w:t xml:space="preserve">24 </w:t>
            </w:r>
          </w:p>
        </w:tc>
        <w:tc>
          <w:tcPr>
            <w:tcW w:w="3014"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KEMUNING LT.2 (WING B)</w:t>
            </w:r>
          </w:p>
        </w:tc>
        <w:tc>
          <w:tcPr>
            <w:tcW w:w="1461" w:type="dxa"/>
            <w:tcBorders>
              <w:top w:val="nil"/>
              <w:left w:val="single" w:color="259073" w:themeColor="accent2" w:sz="4" w:space="0"/>
              <w:bottom w:val="nil"/>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3.03</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Ex>
        <w:trPr>
          <w:trHeight w:val="482" w:hRule="atLeast"/>
          <w:jc w:val="center"/>
        </w:trPr>
        <w:tc>
          <w:tcPr>
            <w:tcW w:w="662" w:type="dxa"/>
            <w:tcBorders>
              <w:top w:val="nil"/>
              <w:left w:val="single" w:color="259073" w:themeColor="accent2" w:sz="4" w:space="0"/>
              <w:bottom w:val="single" w:color="259073" w:themeColor="accent2" w:sz="4" w:space="0"/>
              <w:right w:val="single" w:color="259073" w:themeColor="accent2" w:sz="4" w:space="0"/>
            </w:tcBorders>
            <w:shd w:val="clear" w:color="auto" w:fill="ECCF74"/>
          </w:tcPr>
          <w:p>
            <w:pPr>
              <w:pStyle w:val="28"/>
              <w:tabs>
                <w:tab w:val="left" w:pos="1418"/>
              </w:tabs>
              <w:spacing w:after="0" w:line="240" w:lineRule="auto"/>
              <w:ind w:left="113"/>
              <w:jc w:val="both"/>
            </w:pPr>
            <w:r>
              <w:t xml:space="preserve">25 </w:t>
            </w:r>
          </w:p>
        </w:tc>
        <w:tc>
          <w:tcPr>
            <w:tcW w:w="3014" w:type="dxa"/>
            <w:tcBorders>
              <w:top w:val="nil"/>
              <w:left w:val="single" w:color="259073" w:themeColor="accent2" w:sz="4" w:space="0"/>
              <w:bottom w:val="single" w:color="259073" w:themeColor="accent2" w:sz="4" w:space="0"/>
              <w:right w:val="single" w:color="259073" w:themeColor="accent2" w:sz="4" w:space="0"/>
            </w:tcBorders>
            <w:shd w:val="clear" w:color="auto" w:fill="ECCF74"/>
            <w:vAlign w:val="center"/>
          </w:tcPr>
          <w:p>
            <w:pPr>
              <w:pStyle w:val="28"/>
              <w:tabs>
                <w:tab w:val="left" w:pos="1418"/>
              </w:tabs>
              <w:spacing w:after="0" w:line="240" w:lineRule="auto"/>
              <w:ind w:left="113"/>
              <w:jc w:val="both"/>
            </w:pPr>
            <w:r>
              <w:rPr>
                <w:color w:val="000000"/>
              </w:rPr>
              <w:t>PARAHYANGAN LT.4</w:t>
            </w:r>
          </w:p>
        </w:tc>
        <w:tc>
          <w:tcPr>
            <w:tcW w:w="1461" w:type="dxa"/>
            <w:tcBorders>
              <w:top w:val="nil"/>
              <w:left w:val="single" w:color="259073" w:themeColor="accent2" w:sz="4" w:space="0"/>
              <w:bottom w:val="single" w:color="259073" w:themeColor="accent2" w:sz="4" w:space="0"/>
              <w:right w:val="single" w:color="259073" w:themeColor="accent2" w:sz="4" w:space="0"/>
            </w:tcBorders>
            <w:shd w:val="clear" w:color="auto" w:fill="ECCF74"/>
            <w:vAlign w:val="center"/>
          </w:tcPr>
          <w:p>
            <w:pPr>
              <w:pStyle w:val="28"/>
              <w:tabs>
                <w:tab w:val="left" w:pos="1418"/>
              </w:tabs>
              <w:spacing w:after="0" w:line="240" w:lineRule="auto"/>
              <w:ind w:left="0"/>
              <w:jc w:val="center"/>
              <w:rPr>
                <w:b/>
                <w:bCs/>
              </w:rPr>
            </w:pPr>
            <w:r>
              <w:rPr>
                <w:b/>
                <w:bCs/>
                <w:color w:val="000000"/>
              </w:rPr>
              <w:t>2.93</w:t>
            </w:r>
          </w:p>
        </w:tc>
      </w:tr>
    </w:tbl>
    <w:p>
      <w:pPr>
        <w:pStyle w:val="28"/>
        <w:spacing w:line="360" w:lineRule="auto"/>
        <w:ind w:left="900"/>
        <w:jc w:val="center"/>
        <w:rPr>
          <w:rFonts w:cs="Arial"/>
          <w:color w:val="000000"/>
        </w:rPr>
        <w:sectPr>
          <w:type w:val="continuous"/>
          <w:pgSz w:w="16839" w:h="11907" w:orient="landscape"/>
          <w:pgMar w:top="1440" w:right="1440" w:bottom="1440" w:left="1440" w:header="720" w:footer="60" w:gutter="0"/>
          <w:cols w:space="720" w:num="2"/>
          <w:docGrid w:linePitch="360" w:charSpace="0"/>
        </w:sectPr>
      </w:pPr>
    </w:p>
    <w:p>
      <w:pPr>
        <w:spacing w:before="200" w:line="360" w:lineRule="auto"/>
        <w:jc w:val="both"/>
        <w:rPr>
          <w:rFonts w:cs="Arial"/>
          <w:color w:val="000000"/>
          <w:lang w:val="it-IT"/>
        </w:rPr>
      </w:pPr>
    </w:p>
    <w:p>
      <w:pPr>
        <w:spacing w:before="200" w:line="360" w:lineRule="auto"/>
        <w:ind w:firstLine="709"/>
        <w:jc w:val="both"/>
        <w:rPr>
          <w:rFonts w:cs="Arial"/>
          <w:color w:val="000000"/>
          <w:lang w:val="it-IT"/>
        </w:rPr>
      </w:pPr>
      <w:r>
        <w:rPr>
          <w:rFonts w:cs="Arial"/>
          <w:color w:val="000000"/>
          <w:lang w:val="it-IT"/>
        </w:rPr>
        <w:t>Tingginya angka kematian tersebut dipengaruhi oleh kompleksitas kasus yang datang ke RSHS dan belum optimalnya sistem koordinasi antar unit terkait, sehingga kerjasama tim multidisiplin perlu ditingkatkan. Selain itu, p</w:t>
      </w:r>
      <w:r>
        <w:rPr>
          <w:rFonts w:cs="Arial"/>
        </w:rPr>
        <w:t xml:space="preserve">eran </w:t>
      </w:r>
      <w:r>
        <w:rPr>
          <w:rFonts w:cs="Arial"/>
          <w:i/>
        </w:rPr>
        <w:t>Case Manager</w:t>
      </w:r>
      <w:r>
        <w:rPr>
          <w:rFonts w:cs="Arial"/>
        </w:rPr>
        <w:t xml:space="preserve"> dalam  ini sangat penting, sehingga perlu adanya tupoksi yang jelas antara </w:t>
      </w:r>
      <w:r>
        <w:rPr>
          <w:rFonts w:cs="Arial"/>
          <w:i/>
        </w:rPr>
        <w:t>case manager</w:t>
      </w:r>
      <w:r>
        <w:rPr>
          <w:rFonts w:cs="Arial"/>
        </w:rPr>
        <w:t>, perawat pengawas, agar tidak terjadi tumpang tindih dan memperjelas pelaksananya di lapangan.</w:t>
      </w:r>
    </w:p>
    <w:p>
      <w:pPr>
        <w:spacing w:line="360" w:lineRule="auto"/>
        <w:ind w:firstLine="709"/>
        <w:jc w:val="both"/>
        <w:rPr>
          <w:rFonts w:cs="Arial"/>
          <w:color w:val="000000"/>
        </w:rPr>
      </w:pPr>
      <w:r>
        <w:rPr>
          <w:rFonts w:cs="Arial"/>
          <w:color w:val="000000"/>
          <w:lang w:val="it-IT"/>
        </w:rPr>
        <w:t xml:space="preserve">Disamping itu, NDR yang tinggi merupakan dampak dari ketersediaan </w:t>
      </w:r>
      <w:r>
        <w:rPr>
          <w:rFonts w:cs="Arial"/>
          <w:color w:val="000000"/>
        </w:rPr>
        <w:t xml:space="preserve">rawat inap intensif dan </w:t>
      </w:r>
      <w:r>
        <w:rPr>
          <w:rFonts w:cs="Arial"/>
          <w:i/>
          <w:color w:val="000000"/>
        </w:rPr>
        <w:t>high care</w:t>
      </w:r>
      <w:r>
        <w:rPr>
          <w:rFonts w:cs="Arial"/>
          <w:color w:val="000000"/>
        </w:rPr>
        <w:t xml:space="preserve"> yang terbatas. </w:t>
      </w:r>
      <w:r>
        <w:rPr>
          <w:rFonts w:cs="Arial"/>
        </w:rPr>
        <w:t xml:space="preserve">Tingginya angka NDR di HCU karena sebagian besar kasus yang masuk HCU sebenarnya adalah kasus yang memerlukan perawatan ICU, namun dikarenakan keterbatasan kapasitas ICU RSHS maka dirawat di HCU bahkan rawat inap biasa. </w:t>
      </w:r>
      <w:r>
        <w:rPr>
          <w:rFonts w:cs="Arial"/>
          <w:color w:val="000000"/>
        </w:rPr>
        <w:t xml:space="preserve">Untuk itu, perlu dilakukan peningkatan kapasitas ruang rawat intensif serta pengembangan perawatan </w:t>
      </w:r>
      <w:r>
        <w:rPr>
          <w:rFonts w:cs="Arial"/>
          <w:i/>
          <w:color w:val="000000"/>
        </w:rPr>
        <w:t>high care</w:t>
      </w:r>
      <w:r>
        <w:rPr>
          <w:rFonts w:cs="Arial"/>
          <w:color w:val="000000"/>
        </w:rPr>
        <w:t xml:space="preserve">, meliputi ruang perawatan </w:t>
      </w:r>
      <w:r>
        <w:rPr>
          <w:rFonts w:cs="Arial"/>
          <w:i/>
          <w:color w:val="000000"/>
        </w:rPr>
        <w:t>High Care</w:t>
      </w:r>
      <w:r>
        <w:rPr>
          <w:rFonts w:cs="Arial"/>
          <w:color w:val="000000"/>
        </w:rPr>
        <w:t xml:space="preserve"> untuk anak, obstetri, bedah, medikal, termasuk juga pengembangan Unit Luka Bakar (</w:t>
      </w:r>
      <w:r>
        <w:rPr>
          <w:rFonts w:cs="Arial"/>
          <w:i/>
          <w:color w:val="000000"/>
        </w:rPr>
        <w:t>Burn Unit</w:t>
      </w:r>
      <w:r>
        <w:rPr>
          <w:rFonts w:cs="Arial"/>
          <w:color w:val="000000"/>
        </w:rPr>
        <w:t xml:space="preserve">), </w:t>
      </w:r>
      <w:r>
        <w:rPr>
          <w:rFonts w:cs="Arial"/>
          <w:i/>
          <w:color w:val="000000"/>
        </w:rPr>
        <w:t>Neurology Intermediate Care</w:t>
      </w:r>
      <w:r>
        <w:rPr>
          <w:rFonts w:cs="Arial"/>
          <w:color w:val="000000"/>
        </w:rPr>
        <w:t xml:space="preserve"> (NIC) atau stroke unit, dll. Saat ini, kapasitas HCU di RSHS baru tersedia 45 tempat tidur (TT), yang terdiri dari 5 TT HCU Medical (MIC), 7 TT HCCU, 3 TT Unit Luka Bakar (</w:t>
      </w:r>
      <w:r>
        <w:rPr>
          <w:rFonts w:cs="Arial"/>
          <w:i/>
          <w:color w:val="000000"/>
        </w:rPr>
        <w:t>Burn Unit</w:t>
      </w:r>
      <w:r>
        <w:rPr>
          <w:rFonts w:cs="Arial"/>
          <w:color w:val="000000"/>
        </w:rPr>
        <w:t xml:space="preserve">), 6 TT HCU Kemuning, 2 TT HCU Obgyn, 2 TT HCU Anak, 6 NPIU, 8 HCU RIK, dan 6 NCCU. NCCU yang dalam pengelolaannya sudah di bawah Instalasi Rawat Intensif karena kebutuhan ruang rawat tersebut adalah dengan standard perawatan intensif, namun masih dimasukan dalam rawat </w:t>
      </w:r>
      <w:r>
        <w:rPr>
          <w:rFonts w:cs="Arial"/>
          <w:i/>
          <w:color w:val="000000"/>
        </w:rPr>
        <w:t>High Care</w:t>
      </w:r>
      <w:r>
        <w:rPr>
          <w:rFonts w:cs="Arial"/>
          <w:color w:val="000000"/>
        </w:rPr>
        <w:t xml:space="preserve"> karena sarana prasarana dan alat yang belum memadai sesuai standard ICU. Unit Luka Bakar dengan kapasitas hanya 3 TT, tidak memadai baik dalam standard sarana prasarana maupun jumlah tempat tidur, mengingat RSHS merupakan rujukan puncak Jawa Barat untuk kasus luka bakar.</w:t>
      </w:r>
    </w:p>
    <w:p>
      <w:pPr>
        <w:spacing w:line="360" w:lineRule="auto"/>
        <w:ind w:firstLine="709"/>
        <w:jc w:val="both"/>
        <w:rPr>
          <w:rFonts w:cs="Arial"/>
          <w:color w:val="000000"/>
        </w:rPr>
      </w:pPr>
      <w:r>
        <w:rPr>
          <w:rFonts w:cs="Arial"/>
          <w:color w:val="000000"/>
        </w:rPr>
        <w:t>Pelaksanaan Audit Medik di RSHS khususnya untuk audit tingginya NDR di RSHS perlu terus dilakukan, sehingga dapat dilakukan upaya-upaya untuk menurunkan angka NDR tersebut dengan melibatkan semua unit terkait.</w:t>
      </w:r>
    </w:p>
    <w:p>
      <w:pPr>
        <w:spacing w:line="360" w:lineRule="auto"/>
        <w:ind w:firstLine="709"/>
        <w:jc w:val="both"/>
        <w:rPr>
          <w:color w:val="000000"/>
        </w:rPr>
      </w:pPr>
      <w:r>
        <w:rPr>
          <w:rFonts w:cs="Arial"/>
          <w:color w:val="000000"/>
          <w:lang w:val="it-IT"/>
        </w:rPr>
        <w:t xml:space="preserve">Angka Kematian Neonatal dan Angka Kematian Ibu sebagai dukungan terhadap salah satu program pemerintah dalam MDGs di RSHS juga belum mencapai target yang ditetapkan di tahun 2013. Penurunan diharapkan mencapai 10 % dibandingkan tahun 2012, baru mencapai 0,27%. Perlu peningkatan kegiatan </w:t>
      </w:r>
      <w:r>
        <w:rPr>
          <w:color w:val="000000"/>
        </w:rPr>
        <w:t xml:space="preserve">Audit Maternal Perinatal untuk setiap kasus kematian ibu di RSHS. Beberapa penyebab kematian Ibu di RSHS yaitu: </w:t>
      </w:r>
      <w:r>
        <w:rPr>
          <w:i/>
          <w:color w:val="000000"/>
        </w:rPr>
        <w:t>irreversible hypovolemic shock</w:t>
      </w:r>
      <w:r>
        <w:rPr>
          <w:color w:val="000000"/>
        </w:rPr>
        <w:t xml:space="preserve">, </w:t>
      </w:r>
      <w:r>
        <w:rPr>
          <w:i/>
          <w:color w:val="000000"/>
        </w:rPr>
        <w:t>multiple organ failure</w:t>
      </w:r>
      <w:r>
        <w:rPr>
          <w:color w:val="000000"/>
        </w:rPr>
        <w:t xml:space="preserve">, gagal jantung, </w:t>
      </w:r>
      <w:r>
        <w:rPr>
          <w:i/>
          <w:color w:val="000000"/>
        </w:rPr>
        <w:t>respiratory failure</w:t>
      </w:r>
      <w:r>
        <w:rPr>
          <w:color w:val="000000"/>
        </w:rPr>
        <w:t>. Selain itu, k</w:t>
      </w:r>
      <w:r>
        <w:rPr>
          <w:rFonts w:cs="Arial"/>
          <w:color w:val="000000"/>
          <w:lang w:val="it-IT"/>
        </w:rPr>
        <w:t>eterbatasan ruang rawar intensif dan HCU untuk kasus obgyn dan neonatal menjadi salah satu penyebab belum tercapainya target penurunan Angka Kematian Ibu</w:t>
      </w:r>
      <w:r>
        <w:rPr>
          <w:rFonts w:cs="Arial"/>
          <w:color w:val="000000"/>
          <w:lang w:val="id-ID"/>
        </w:rPr>
        <w:t xml:space="preserve"> </w:t>
      </w:r>
      <w:r>
        <w:rPr>
          <w:rFonts w:cs="Arial"/>
          <w:color w:val="000000"/>
          <w:lang w:val="it-IT"/>
        </w:rPr>
        <w:t xml:space="preserve">(AKI) dan AKN tersebut. Untuk itu, program untuk memenuhi standard PONEK khsusunya dalam sarana prasarana perlu ditingkatkan, dengan upaya </w:t>
      </w:r>
      <w:r>
        <w:rPr>
          <w:color w:val="000000"/>
        </w:rPr>
        <w:t>memenuhi kebutuhan alat yang diusulkan untuk menunjang kegiatan PONEK, dan peningkatan kemampuan SDM dengan pendidikan dan pelatihan di dalam dan di luar RSHS.</w:t>
      </w:r>
      <w:r>
        <w:rPr>
          <w:rFonts w:cs="Arial"/>
          <w:color w:val="000000"/>
          <w:lang w:val="it-IT"/>
        </w:rPr>
        <w:t xml:space="preserve"> Penataan alur pelayanan dan lokasi</w:t>
      </w:r>
      <w:r>
        <w:rPr>
          <w:color w:val="000000"/>
        </w:rPr>
        <w:t xml:space="preserve"> ruang tindakan obstetri (VK) yang tersentral dan berdekatan dengan kamar operasi (IBS) juga perlu segera terealisasi. Saat ini, di RSHS masih terdapat ruang VK yang letaknya di ruang rawat obgyn berjauhan dengan kamar operasi IBS. Selain itu, kegiatan pembinaan ke PPK tingkat I, PPK tingkat II, dan Bidan swasta sebagai upaya untuk pembinaan rujukan perlu terus ditingkatkan. </w:t>
      </w:r>
    </w:p>
    <w:p>
      <w:pPr>
        <w:spacing w:line="360" w:lineRule="auto"/>
        <w:ind w:firstLine="709"/>
        <w:jc w:val="both"/>
        <w:rPr>
          <w:rFonts w:cs="Arial"/>
          <w:color w:val="000000"/>
        </w:rPr>
      </w:pPr>
      <w:r>
        <w:rPr>
          <w:rFonts w:cs="Arial"/>
          <w:color w:val="000000"/>
        </w:rPr>
        <w:t>Permasalahan lain yang juga perlu mendapatkan perhatian adalah i</w:t>
      </w:r>
      <w:r>
        <w:rPr>
          <w:rFonts w:cs="Arial"/>
          <w:color w:val="000000"/>
          <w:lang w:val="it-IT"/>
        </w:rPr>
        <w:t xml:space="preserve">nfeksi nosokomial </w:t>
      </w:r>
      <w:r>
        <w:rPr>
          <w:rFonts w:cs="Arial"/>
          <w:bCs/>
          <w:color w:val="000000"/>
        </w:rPr>
        <w:t>rumah sakit</w:t>
      </w:r>
      <w:r>
        <w:rPr>
          <w:rFonts w:cs="Arial"/>
          <w:bCs/>
          <w:color w:val="000000"/>
          <w:lang w:val="id-ID"/>
        </w:rPr>
        <w:t xml:space="preserve"> </w:t>
      </w:r>
      <w:r>
        <w:rPr>
          <w:rFonts w:cs="Arial"/>
          <w:bCs/>
          <w:color w:val="000000"/>
        </w:rPr>
        <w:t>(</w:t>
      </w:r>
      <w:r>
        <w:rPr>
          <w:rFonts w:cs="Arial"/>
          <w:bCs/>
          <w:i/>
          <w:color w:val="000000"/>
        </w:rPr>
        <w:t>hospital infection incidence rate</w:t>
      </w:r>
      <w:r>
        <w:rPr>
          <w:rFonts w:cs="Arial"/>
          <w:bCs/>
          <w:color w:val="000000"/>
        </w:rPr>
        <w:t xml:space="preserve">). </w:t>
      </w:r>
      <w:r>
        <w:rPr>
          <w:rFonts w:cs="Arial"/>
          <w:color w:val="000000"/>
        </w:rPr>
        <w:t xml:space="preserve">Angka infeksi Rumah Sakit di RSHS tahun 2012 dilaporkan 0,45%, dan </w:t>
      </w:r>
      <w:r>
        <w:rPr>
          <w:rFonts w:cs="Arial"/>
          <w:color w:val="000000"/>
          <w:lang w:val="it-IT"/>
        </w:rPr>
        <w:t xml:space="preserve">pada tahun </w:t>
      </w:r>
      <w:r>
        <w:rPr>
          <w:rFonts w:cs="Arial"/>
          <w:bCs/>
          <w:color w:val="000000"/>
        </w:rPr>
        <w:t>2013  terlaporkan sebesar 1,56%. Pada Triwulan I tahun 2014, capaian angka infeksi rumah sakit (nosokomial) adalah 1,25% dekubitus dengan nilai 0,75, Phlebitis 1% dengan nilai 1, Infeksi Saluran Kemih (ISK) 0,11% dengan nilai 1, dan Infeksi Luka Operasi (ILO) 0,18% dengan nilai 1. Namun disadari bahwa kualitas pengumpulan dan rekapitulasi data infeksi rumah sakit dinilai belum baik. Salah satu penyebabnya adalah jumlah IPCN di RSHS yang belum mencukupi dan mereka belum bertugas secara purna waktu. Selanjutnya upaya untuk meningkatkan kualitas data infeksi rumah sakit perlu terus ditingkatkan agar menggambarkan keadaan sesungguhnya dari kejadian infeksi nosokomial yang terjadi di RSHS untuk kemudian dapat dilakukan langkah-langkah upaya tindak lanjut. Demikian pula untuk s</w:t>
      </w:r>
      <w:r>
        <w:rPr>
          <w:rFonts w:cs="Arial"/>
          <w:color w:val="000000"/>
        </w:rPr>
        <w:t xml:space="preserve">arana prasarana untuk ruang isolasi/infeksi juga masih terbatas dan belum memenuhi standard, sehingga perlu ditingkatkan sesuai standard yang telah ditetapkan. </w:t>
      </w:r>
    </w:p>
    <w:p>
      <w:pPr>
        <w:spacing w:after="0" w:line="240" w:lineRule="auto"/>
        <w:rPr>
          <w:rFonts w:cs="Arial"/>
          <w:b/>
          <w:color w:val="000000"/>
        </w:rPr>
      </w:pPr>
      <w:r>
        <w:rPr>
          <w:rFonts w:cs="Arial"/>
          <w:b/>
          <w:color w:val="000000"/>
        </w:rPr>
        <w:br w:type="page"/>
      </w:r>
    </w:p>
    <w:p>
      <w:pPr>
        <w:pStyle w:val="28"/>
        <w:numPr>
          <w:ilvl w:val="0"/>
          <w:numId w:val="5"/>
        </w:numPr>
        <w:spacing w:after="0" w:line="360" w:lineRule="auto"/>
        <w:ind w:left="284" w:hanging="284"/>
        <w:jc w:val="both"/>
        <w:rPr>
          <w:rFonts w:cs="Arial"/>
          <w:b/>
          <w:color w:val="000000"/>
        </w:rPr>
      </w:pPr>
      <w:r>
        <w:rPr>
          <w:rFonts w:cs="Arial"/>
          <w:b/>
          <w:color w:val="000000"/>
        </w:rPr>
        <w:t>Pelayanan Operasi</w:t>
      </w:r>
    </w:p>
    <w:p>
      <w:pPr>
        <w:spacing w:line="360" w:lineRule="auto"/>
        <w:ind w:firstLine="709"/>
        <w:jc w:val="both"/>
        <w:rPr>
          <w:rFonts w:cs="Arial"/>
          <w:color w:val="000000"/>
        </w:rPr>
      </w:pPr>
      <w:r>
        <w:rPr>
          <w:rFonts w:cs="Arial"/>
          <w:color w:val="000000"/>
        </w:rPr>
        <w:t>Jumlah op</w:t>
      </w:r>
      <w:r>
        <w:rPr>
          <w:rFonts w:cs="Arial"/>
          <w:color w:val="000000"/>
          <w:lang w:val="it-IT"/>
        </w:rPr>
        <w:t>erasi selama periode tahun 2010-2013 menunjukkan fluktuasi, di tahun 2009 mencapai 15.976 tindakan operasi, 2010 mengalami penurunan menjadi 15.051 tindakan operasi, kemudian meningkat lagi menjadi 16.670 tindakan operasi di tahun 2013. P</w:t>
      </w:r>
      <w:r>
        <w:rPr>
          <w:rFonts w:cs="Arial"/>
          <w:color w:val="000000"/>
        </w:rPr>
        <w:t>ertumbuhan  tindakan operasi di tahun 2013 mencapai 1, dengan nilai 1,5. Pada triwulan I tahun 2014, pertumbuhan tindakan operasi mengalami penurunan yaitu dengan capaian 0,87 (nilai 0,5).</w:t>
      </w:r>
    </w:p>
    <w:p>
      <w:pPr>
        <w:spacing w:line="360" w:lineRule="auto"/>
        <w:ind w:firstLine="709"/>
        <w:jc w:val="both"/>
        <w:rPr>
          <w:rFonts w:cs="Arial"/>
          <w:color w:val="000000"/>
        </w:rPr>
      </w:pPr>
      <w:r>
        <w:rPr>
          <w:rFonts w:cs="Arial"/>
          <w:color w:val="000000"/>
          <w:lang w:val="it-IT"/>
        </w:rPr>
        <w:t xml:space="preserve">Masalah utama yang dihadapi adalah waktu tunggu operasi. Per definisi berdasarkan pedoman perhitungan kinerja Satker BLU terbaru bahwa </w:t>
      </w:r>
      <w:r>
        <w:rPr>
          <w:rFonts w:cs="Arial"/>
          <w:color w:val="000000"/>
        </w:rPr>
        <w:t>w</w:t>
      </w:r>
      <w:r>
        <w:rPr>
          <w:rFonts w:cs="Arial"/>
          <w:color w:val="000000"/>
          <w:lang w:val="id-ID"/>
        </w:rPr>
        <w:t>aktu</w:t>
      </w:r>
      <w:r>
        <w:rPr>
          <w:rFonts w:cs="Arial"/>
          <w:bCs/>
          <w:color w:val="000000"/>
          <w:spacing w:val="-4"/>
          <w:lang w:val="id-ID"/>
        </w:rPr>
        <w:t xml:space="preserve"> tunggu sebelum operasi dihitung berdasarkan waktu tunggu </w:t>
      </w:r>
      <w:r>
        <w:rPr>
          <w:rFonts w:cs="Arial"/>
          <w:bCs/>
          <w:color w:val="000000"/>
          <w:spacing w:val="-4"/>
        </w:rPr>
        <w:t>pasien sejak diputuskan operasi elektif dan telah dijadwalkan di kamar operasi sampai dilaksanakannya tindakan operasi elektif (standard 2 hari)</w:t>
      </w:r>
      <w:r>
        <w:rPr>
          <w:rFonts w:cs="Arial"/>
          <w:bCs/>
          <w:color w:val="000000"/>
          <w:spacing w:val="-4"/>
          <w:lang w:val="id-ID"/>
        </w:rPr>
        <w:t>.</w:t>
      </w:r>
      <w:r>
        <w:rPr>
          <w:rFonts w:cs="Arial"/>
          <w:bCs/>
          <w:color w:val="000000"/>
          <w:spacing w:val="-4"/>
        </w:rPr>
        <w:t xml:space="preserve"> Di RSHS penjadwalan di kamar operasi dilakukan oleh Instalasi Bedah Sentral di hari sebelum operasi dilaksanakan, sehingga laporan indikator tersebut memenuhi standard. Namun pada kenyataanya, </w:t>
      </w:r>
      <w:r>
        <w:rPr>
          <w:rFonts w:cs="Arial"/>
          <w:bCs/>
          <w:i/>
          <w:color w:val="000000"/>
          <w:spacing w:val="-4"/>
        </w:rPr>
        <w:t xml:space="preserve">waiting list </w:t>
      </w:r>
      <w:r>
        <w:rPr>
          <w:rFonts w:cs="Arial"/>
          <w:bCs/>
          <w:color w:val="000000"/>
          <w:spacing w:val="-4"/>
        </w:rPr>
        <w:t xml:space="preserve">operasi sangat tinggi dengan waktu pelaksanaan operasi semenjak pasien diputuskan untuk dilakukan tindakan operasi mencapai beberapa bulan. Salah satu penyebabnya seperti yang telah dijelaskan sebelumnya adalah keterbatasan ruang rawat inap. </w:t>
      </w:r>
      <w:r>
        <w:rPr>
          <w:rFonts w:cs="Arial"/>
          <w:color w:val="000000"/>
        </w:rPr>
        <w:t>Khususnya untuk kasus bedah anak sangat terkendala ketersediaan ruang rawat inap khusus bedah anak untuk kelas I dan kelas II.</w:t>
      </w:r>
    </w:p>
    <w:p>
      <w:pPr>
        <w:spacing w:line="360" w:lineRule="auto"/>
        <w:ind w:firstLine="709"/>
        <w:jc w:val="both"/>
        <w:rPr>
          <w:rFonts w:cs="Arial"/>
          <w:color w:val="000000"/>
        </w:rPr>
      </w:pPr>
      <w:r>
        <w:rPr>
          <w:rFonts w:cs="Arial"/>
          <w:color w:val="000000"/>
        </w:rPr>
        <w:t xml:space="preserve">Selain itu, permasalahan waktu tunggu tindakan operasi tersebut disebabkan banyaknya pasien yang membutuhkan tindakan operasi di RSHS, juga karena utilitas kamar operasi yang masih rendah. Hasil analisis rendahnya utilitas kamar operasi disebabkan peralatan standard di kamar operasi yang belum terpenuhi, sarana prasarana yang masih perlu ditingkatkan, </w:t>
      </w:r>
      <w:r>
        <w:rPr>
          <w:rFonts w:cs="Arial"/>
          <w:i/>
          <w:color w:val="000000"/>
        </w:rPr>
        <w:t>cutting time</w:t>
      </w:r>
      <w:r>
        <w:rPr>
          <w:rFonts w:cs="Arial"/>
          <w:color w:val="000000"/>
        </w:rPr>
        <w:t xml:space="preserve"> yang terlambat, interval antar operasi yang masih panjang, serta perberdayaan tenaga SDM di Instalasi Bedah Sentral yang belum optimal. </w:t>
      </w:r>
    </w:p>
    <w:p>
      <w:pPr>
        <w:spacing w:line="360" w:lineRule="auto"/>
        <w:ind w:firstLine="709"/>
        <w:jc w:val="both"/>
        <w:rPr>
          <w:rFonts w:cs="Arial"/>
          <w:color w:val="000000"/>
        </w:rPr>
      </w:pPr>
      <w:r>
        <w:rPr>
          <w:rFonts w:cs="Arial"/>
          <w:color w:val="000000"/>
        </w:rPr>
        <w:t>Angka pembatalan operasi tahun 2013 juga masih cukup tinggi yaitu 7%, dengan nilai 0,5. Semester I tahun 2014 angka pembatalan operasi ini masih tinggi yaitu 7,21%. Penurunan pembatalan tindakan operasi telah diupayakan dengan telah dimulainya pelayanan klinik Anestesi untuk skrining pre operasi di rawat jalan.</w:t>
      </w:r>
    </w:p>
    <w:p>
      <w:pPr>
        <w:spacing w:line="360" w:lineRule="auto"/>
        <w:jc w:val="both"/>
        <w:rPr>
          <w:rFonts w:cs="Arial"/>
          <w:color w:val="000000"/>
        </w:rPr>
      </w:pPr>
      <w:r>
        <w:rPr>
          <w:rFonts w:cs="Arial"/>
          <w:color w:val="000000"/>
        </w:rPr>
        <w:t>Indikator angka kematian post operasi (</w:t>
      </w:r>
      <w:r>
        <w:rPr>
          <w:rFonts w:cs="Arial"/>
          <w:i/>
          <w:color w:val="000000"/>
        </w:rPr>
        <w:t>post operative death rate</w:t>
      </w:r>
      <w:r>
        <w:rPr>
          <w:rFonts w:cs="Arial"/>
          <w:color w:val="000000"/>
        </w:rPr>
        <w:t xml:space="preserve">) tahun 2012 adalah 0,06% dan pada  tahun 2013 yaitu 0,07%  dengan nilai 2. Dengan demikian </w:t>
      </w:r>
      <w:r>
        <w:rPr>
          <w:rFonts w:cs="Arial"/>
          <w:i/>
          <w:color w:val="000000"/>
        </w:rPr>
        <w:t>postoperative death rate</w:t>
      </w:r>
      <w:r>
        <w:rPr>
          <w:rFonts w:cs="Arial"/>
          <w:color w:val="000000"/>
        </w:rPr>
        <w:t xml:space="preserve"> sudah mencapai standard yang ditetapkan yaitu&lt;2%.</w:t>
      </w:r>
    </w:p>
    <w:p>
      <w:pPr>
        <w:pStyle w:val="28"/>
        <w:numPr>
          <w:ilvl w:val="0"/>
          <w:numId w:val="5"/>
        </w:numPr>
        <w:spacing w:after="0" w:line="360" w:lineRule="auto"/>
        <w:ind w:left="284" w:hanging="284"/>
        <w:jc w:val="both"/>
        <w:rPr>
          <w:rFonts w:cs="Arial"/>
          <w:b/>
          <w:color w:val="000000"/>
        </w:rPr>
      </w:pPr>
      <w:r>
        <w:rPr>
          <w:rFonts w:cs="Arial"/>
          <w:b/>
          <w:color w:val="000000"/>
        </w:rPr>
        <w:t>Pelayanan Radiologi</w:t>
      </w:r>
    </w:p>
    <w:p>
      <w:pPr>
        <w:spacing w:line="360" w:lineRule="auto"/>
        <w:ind w:firstLine="709"/>
        <w:jc w:val="both"/>
        <w:rPr>
          <w:color w:val="000000"/>
        </w:rPr>
      </w:pPr>
      <w:r>
        <w:rPr>
          <w:rFonts w:cs="Arial"/>
          <w:color w:val="000000"/>
          <w:lang w:val="sv-SE"/>
        </w:rPr>
        <w:t xml:space="preserve">Jumlah pemeriksaan radiologi </w:t>
      </w:r>
      <w:r>
        <w:rPr>
          <w:rFonts w:cs="Arial"/>
          <w:color w:val="000000"/>
          <w:lang w:val="it-IT"/>
        </w:rPr>
        <w:t>selama periode tahun 2010-2013 menunjukkan penurunan, yaitu 119.078 menjadi 111.223 di tahun 2013</w:t>
      </w:r>
      <w:r>
        <w:rPr>
          <w:rFonts w:cs="Arial"/>
          <w:color w:val="000000"/>
          <w:lang w:val="sv-SE"/>
        </w:rPr>
        <w:t>. Penurunan ini seiring dengan penurunan kunjungan rawat jalan yang terjadi selama periode tersebut. C</w:t>
      </w:r>
      <w:r>
        <w:rPr>
          <w:rFonts w:cs="Arial"/>
          <w:color w:val="000000"/>
        </w:rPr>
        <w:t xml:space="preserve">apaian pertumbuhan pemeriksaan radiologi di tahun 2013 mencapai 0,99 dengan  nilai  1,25. Kegagalan hasil radiologi tahun 2013 adalah 2%, dengan nilai 1,5. Indikator waktu tunggu pelayanan radioogi tahun 2013 dilaporkan 3 jam 52 menit dengan nilai 1,5. Pada triwulan I tahun 2014 pertumbuhan rata-rata per hari pemeriksaan radiologi mencapai 0,87 dengan capaian nilai 0,5. </w:t>
      </w:r>
      <w:r>
        <w:rPr>
          <w:color w:val="000000"/>
        </w:rPr>
        <w:t xml:space="preserve">Penurunan jumlah pemeriksaan di tahun 2014, secara signifikan disebabkan karena adanya pengendalian pemeriksaan penunjang di masa transisi pelaksanaan pelayanan JKN. Bentuk upaya kendali biaya untuk pemeriksaan penunjang tengah diupayakan melalui proses verifikasi pelayanan penunjang. Namun di sisi lain, hal ini perlu dievaluasi lebih lanjut karena pengendalian pelayanan tidak semata-mata kendali biaya namun tetap melakukan kendali mutu dalam arti pelaksanaan pelayanan sesuai standard tetap harus dilaksanakan. Untuk itu, sosialisasi ke SMF dan instalasi serta monitoring dan evaluasi pengendalian pelayanan JKN perlu terus dilakukan. </w:t>
      </w:r>
    </w:p>
    <w:p>
      <w:pPr>
        <w:spacing w:line="360" w:lineRule="auto"/>
        <w:ind w:firstLine="709"/>
        <w:jc w:val="both"/>
        <w:rPr>
          <w:color w:val="000000"/>
        </w:rPr>
      </w:pPr>
      <w:r>
        <w:rPr>
          <w:color w:val="000000"/>
        </w:rPr>
        <w:t>Pada era JKN ini justru pelayanan radioterapi mengalami peningkatan yang cukup signifikan. pada Semester I tahun 2014 mencapai 50.428 pelayanan meningkat dibandingkatan Semester I tahun 2013 sebanyak 55.632 pelayanan, yaitu dengan capaian 1,82.</w:t>
      </w:r>
    </w:p>
    <w:p>
      <w:pPr>
        <w:spacing w:line="360" w:lineRule="auto"/>
        <w:ind w:firstLine="709"/>
        <w:jc w:val="both"/>
        <w:rPr>
          <w:rFonts w:cs="Arial"/>
          <w:color w:val="000000"/>
        </w:rPr>
      </w:pPr>
      <w:r>
        <w:rPr>
          <w:rFonts w:cs="Arial"/>
          <w:color w:val="000000"/>
          <w:lang w:val="it-IT"/>
        </w:rPr>
        <w:t xml:space="preserve">Masalah yang dihadapi dalam pelayanan radiologi adalah </w:t>
      </w:r>
      <w:r>
        <w:rPr>
          <w:rFonts w:cs="Arial"/>
          <w:color w:val="000000"/>
        </w:rPr>
        <w:t xml:space="preserve">masih diperlukannya peningkatan sarana prasarana khususnya </w:t>
      </w:r>
      <w:r>
        <w:rPr>
          <w:rFonts w:cs="Arial"/>
          <w:i/>
          <w:color w:val="000000"/>
        </w:rPr>
        <w:t xml:space="preserve">maintenance </w:t>
      </w:r>
      <w:r>
        <w:rPr>
          <w:rFonts w:cs="Arial"/>
          <w:color w:val="000000"/>
        </w:rPr>
        <w:t xml:space="preserve">peralatan. Pengelolaan sarana, prasarana, dan alat melalui koordinasi dengan Instalasi Penunjang yang telah terbentuk. Untuk itu, perlu ditingkatkan penataan organisasi dan tata kelola Instalasi Penunjang RSHS. Dengan telah dibangunnya </w:t>
      </w:r>
      <w:r>
        <w:rPr>
          <w:rFonts w:cs="Arial"/>
          <w:i/>
          <w:color w:val="000000"/>
        </w:rPr>
        <w:t>diagnostic center</w:t>
      </w:r>
      <w:r>
        <w:rPr>
          <w:rFonts w:cs="Arial"/>
          <w:color w:val="000000"/>
        </w:rPr>
        <w:t xml:space="preserve">, maka para tahap operasionalnya perlu direalisasikan pelayanan penunjang </w:t>
      </w:r>
      <w:r>
        <w:rPr>
          <w:rFonts w:cs="Arial"/>
          <w:i/>
          <w:color w:val="000000"/>
        </w:rPr>
        <w:t>one stop service</w:t>
      </w:r>
      <w:r>
        <w:rPr>
          <w:rFonts w:cs="Arial"/>
          <w:color w:val="000000"/>
        </w:rPr>
        <w:t xml:space="preserve"> di RSHS. Kebutuhan peralatan kesehatan untuk pelayanan penunjang mempertimbangkan peluang kerja sama penyerataan (KSP).</w:t>
      </w:r>
    </w:p>
    <w:p>
      <w:pPr>
        <w:spacing w:line="360" w:lineRule="auto"/>
        <w:ind w:firstLine="709"/>
        <w:jc w:val="both"/>
        <w:rPr>
          <w:rFonts w:cs="Arial"/>
          <w:color w:val="000000"/>
        </w:rPr>
      </w:pPr>
      <w:r>
        <w:rPr>
          <w:rFonts w:cs="Arial"/>
          <w:color w:val="000000"/>
        </w:rPr>
        <w:t xml:space="preserve">Sebagai rumah sakit rujukan tertier, RSHS perlu mengembangkan pelayanan radiologi intervensi karena tuntutan kemajuan ilmu dan teknologi sudah demikian pesatnya. </w:t>
      </w:r>
    </w:p>
    <w:p>
      <w:pPr>
        <w:pStyle w:val="28"/>
        <w:numPr>
          <w:ilvl w:val="0"/>
          <w:numId w:val="5"/>
        </w:numPr>
        <w:spacing w:after="0" w:line="360" w:lineRule="auto"/>
        <w:ind w:left="284" w:hanging="284"/>
        <w:jc w:val="both"/>
        <w:rPr>
          <w:rFonts w:cs="Arial"/>
          <w:b/>
          <w:color w:val="000000"/>
        </w:rPr>
      </w:pPr>
      <w:r>
        <w:rPr>
          <w:rFonts w:cs="Arial"/>
          <w:b/>
          <w:color w:val="000000"/>
        </w:rPr>
        <w:t>Pemeriksaan Laboratorium</w:t>
      </w:r>
    </w:p>
    <w:p>
      <w:pPr>
        <w:spacing w:line="360" w:lineRule="auto"/>
        <w:ind w:firstLine="709"/>
        <w:jc w:val="both"/>
        <w:rPr>
          <w:color w:val="000000"/>
        </w:rPr>
      </w:pPr>
      <w:r>
        <w:rPr>
          <w:color w:val="000000"/>
        </w:rPr>
        <w:t xml:space="preserve">Pertumbuhan pemeriksaan Patologi Klinik dan Patologi Anatomi Semester I tahun 2014 adalah 0,94 belum mencapai target tahun 2014. Penurunan signifikan terlihat pada jumlah pemeriksaan Patologi Klinik. </w:t>
      </w:r>
    </w:p>
    <w:p>
      <w:pPr>
        <w:spacing w:line="360" w:lineRule="auto"/>
        <w:ind w:firstLine="709"/>
        <w:jc w:val="both"/>
        <w:rPr>
          <w:color w:val="000000"/>
        </w:rPr>
      </w:pPr>
      <w:r>
        <w:rPr>
          <w:rFonts w:cs="Arial"/>
          <w:color w:val="000000"/>
          <w:lang w:val="it-IT"/>
        </w:rPr>
        <w:t xml:space="preserve">Jumlah pemeriksaan laboratorium Patologi Klinik dalam lima tahun terakhir mengalami peningkatan yaitu sebanyak 1.294.312 pemeriksaan di tahun 2010 menjadi </w:t>
      </w:r>
      <w:r>
        <w:rPr>
          <w:rFonts w:cs="Arial"/>
          <w:color w:val="000000"/>
        </w:rPr>
        <w:t>1.393.505 pemeriksaan</w:t>
      </w:r>
      <w:r>
        <w:rPr>
          <w:rFonts w:cs="Arial"/>
          <w:color w:val="000000"/>
          <w:lang w:val="it-IT"/>
        </w:rPr>
        <w:t xml:space="preserve"> di tahun 2013. </w:t>
      </w:r>
      <w:r>
        <w:rPr>
          <w:rFonts w:cs="Arial"/>
          <w:color w:val="000000"/>
        </w:rPr>
        <w:t xml:space="preserve">Capaian pertumbuhan pemeriksaan Patologi Klinik di tahun 2013 mencapai 1,01 dengan nilai 1,5. </w:t>
      </w:r>
      <w:r>
        <w:rPr>
          <w:color w:val="000000"/>
        </w:rPr>
        <w:t xml:space="preserve">Seperti halnya pemeriksaan radiologi, pada masa transisi pelaksanaan JKN ini, maka pengendalian pemeriksaan laboratorium dilakukan oleh masing-masing verifikator unit penunjang. Evaluasi dan sosialisasi mengenai bentuk pengendalian terus dilakukan agar kendali mutu pelayanan dapat dipertahankan. </w:t>
      </w:r>
    </w:p>
    <w:p>
      <w:pPr>
        <w:spacing w:line="360" w:lineRule="auto"/>
        <w:ind w:firstLine="709"/>
        <w:jc w:val="both"/>
        <w:rPr>
          <w:rFonts w:cs="Arial"/>
          <w:color w:val="000000"/>
        </w:rPr>
      </w:pPr>
      <w:r>
        <w:rPr>
          <w:rFonts w:cs="Arial"/>
          <w:color w:val="000000"/>
        </w:rPr>
        <w:t>Angka pengulangan pemeriksaan laboratorium tahun 2013 mencapai 0,92%, dengan nilai 2. Waktu tunggu hasil laboratorium tahun 2013 yang terukur adalah</w:t>
      </w:r>
      <w:r>
        <w:rPr>
          <w:rFonts w:cs="Arial"/>
          <w:color w:val="000000"/>
          <w:lang w:val="id-ID"/>
        </w:rPr>
        <w:t xml:space="preserve"> </w:t>
      </w:r>
      <w:r>
        <w:rPr>
          <w:rFonts w:cs="Arial"/>
          <w:i/>
          <w:color w:val="000000"/>
        </w:rPr>
        <w:t>Turn Around Time</w:t>
      </w:r>
      <w:r>
        <w:rPr>
          <w:rFonts w:cs="Arial"/>
          <w:i/>
          <w:color w:val="000000"/>
          <w:lang w:val="id-ID"/>
        </w:rPr>
        <w:t xml:space="preserve"> </w:t>
      </w:r>
      <w:r>
        <w:rPr>
          <w:rFonts w:cs="Arial"/>
          <w:color w:val="000000"/>
        </w:rPr>
        <w:t>(TAT) 30 menit-2 jam dengan capaian nilai 2. Dari segi mutu pelayanan patologi klinik perlu terus ditingkatkan melalui peningkatan sarana prasarana termasuk dalam sarana untuk pengiriman sampel dan hasil pemeriksaan laboratorium.</w:t>
      </w:r>
    </w:p>
    <w:p>
      <w:pPr>
        <w:spacing w:line="360" w:lineRule="auto"/>
        <w:ind w:firstLine="709"/>
        <w:jc w:val="both"/>
        <w:rPr>
          <w:rFonts w:cs="Arial"/>
          <w:color w:val="000000"/>
        </w:rPr>
      </w:pPr>
      <w:r>
        <w:rPr>
          <w:rFonts w:cs="Arial"/>
          <w:color w:val="000000"/>
        </w:rPr>
        <w:t xml:space="preserve">Di samping itu, kebutuhan darah yang cukup tinggi, baik untuk pelayanan di kamar operasi, instalasi gawat darurat, rawat inap, maupun rawat jalan RSHS, maka perlu diupayakan terbentuknya Unit Transfusi Darah (UTD) untuk menjamin ketersediaan kebutuhan darah yang cukup tinggi. </w:t>
      </w:r>
    </w:p>
    <w:p>
      <w:pPr>
        <w:spacing w:line="360" w:lineRule="auto"/>
        <w:ind w:firstLine="709"/>
        <w:jc w:val="both"/>
        <w:rPr>
          <w:rFonts w:cs="Arial"/>
          <w:color w:val="000000"/>
        </w:rPr>
      </w:pPr>
      <w:r>
        <w:rPr>
          <w:rFonts w:cs="Arial"/>
          <w:color w:val="000000"/>
        </w:rPr>
        <w:t>Dalam lima tahun terakhir, pemeriksaan patologi anatomi (PA) mengalami peningkatan, dari 12.808 pemeriksaan di tahun 2010 menjadi 15.311 pemeriksaan di tahun 2013. Pertumbuhan pemeriksan PA di tahun 2013 mencapai 1,07 dan nilai  1,5.</w:t>
      </w:r>
    </w:p>
    <w:p>
      <w:pPr>
        <w:spacing w:line="360" w:lineRule="auto"/>
        <w:ind w:firstLine="709"/>
        <w:jc w:val="both"/>
        <w:rPr>
          <w:rFonts w:cs="Arial"/>
          <w:color w:val="000000"/>
          <w:lang w:val="id-ID"/>
        </w:rPr>
      </w:pPr>
      <w:r>
        <w:rPr>
          <w:rFonts w:cs="Arial"/>
          <w:color w:val="000000"/>
        </w:rPr>
        <w:t>Pelayanan PA masih menghadapi beberapa permasalahan, diantaranya sarana prasarana serta alat yang masih perlu ditingkatkan. Demikian juga waktu tunggu hasil pemeriksaan PA yang masih cukup lama.</w:t>
      </w:r>
    </w:p>
    <w:p>
      <w:pPr>
        <w:pStyle w:val="28"/>
        <w:numPr>
          <w:ilvl w:val="0"/>
          <w:numId w:val="5"/>
        </w:numPr>
        <w:spacing w:after="0" w:line="360" w:lineRule="auto"/>
        <w:ind w:left="540" w:hanging="540"/>
        <w:jc w:val="both"/>
        <w:rPr>
          <w:rFonts w:cs="Arial"/>
          <w:b/>
          <w:color w:val="000000"/>
        </w:rPr>
      </w:pPr>
      <w:r>
        <w:rPr>
          <w:rFonts w:cs="Arial"/>
          <w:b/>
          <w:color w:val="000000"/>
        </w:rPr>
        <w:t>Pelayanan Kedokteran Nuklir</w:t>
      </w:r>
    </w:p>
    <w:p>
      <w:pPr>
        <w:pStyle w:val="28"/>
        <w:spacing w:line="360" w:lineRule="auto"/>
        <w:ind w:left="0" w:firstLine="709"/>
        <w:jc w:val="both"/>
        <w:rPr>
          <w:rFonts w:cs="Arial"/>
          <w:bCs/>
          <w:color w:val="000000"/>
        </w:rPr>
      </w:pPr>
      <w:r>
        <w:rPr>
          <w:rFonts w:cs="Arial"/>
          <w:bCs/>
          <w:color w:val="000000"/>
          <w:lang w:val="sv-SE"/>
        </w:rPr>
        <w:t xml:space="preserve">Jumlah pemeriksaan Kedokteran Nuklir selama periode tahun 2009-2013 mengalami fluktuasi namun dengan kecenderungan meningkat. Di tahun 2009  pelayanan Kedokteran Nuklir 16.131 menjadi   22.284 di tahun 2013. Kunjungan pasien ke Kedokteran Nuklir tidak hanya berasal dari Jawa Barat tetapi juga dari luar Jawa Barat, seperti dari Semarang, Yogyakarta, Surabaya, Lampung, Padang, Aceh, Jambi, Makasar dan Kupang.   </w:t>
      </w:r>
    </w:p>
    <w:p>
      <w:pPr>
        <w:tabs>
          <w:tab w:val="left" w:pos="709"/>
        </w:tabs>
        <w:spacing w:line="360" w:lineRule="auto"/>
        <w:ind w:firstLine="709"/>
        <w:jc w:val="both"/>
        <w:rPr>
          <w:rFonts w:cs="Arial"/>
          <w:color w:val="000000"/>
        </w:rPr>
      </w:pPr>
      <w:r>
        <w:rPr>
          <w:rFonts w:cs="Arial"/>
          <w:color w:val="000000"/>
        </w:rPr>
        <w:t xml:space="preserve">Pada tahun 2012 Pelayanan Kedokteran Nuklir mencapai jumlah 17.592, dan  pada tahun 2013 mencapai 22.284 dengan pertumbuhan 1,27 dan nilai 1,50.Permasalahan yang saat ini dihadapi dalam pelayanan Kedokteran Nuklir adalah perlu segera dioperasionalkannya pelayanan PET </w:t>
      </w:r>
      <w:r>
        <w:rPr>
          <w:rFonts w:cs="Arial"/>
          <w:i/>
          <w:color w:val="000000"/>
        </w:rPr>
        <w:t>scan</w:t>
      </w:r>
      <w:r>
        <w:rPr>
          <w:rFonts w:cs="Arial"/>
          <w:color w:val="000000"/>
        </w:rPr>
        <w:t xml:space="preserve"> (</w:t>
      </w:r>
      <w:r>
        <w:rPr>
          <w:rFonts w:cs="Arial"/>
          <w:i/>
          <w:color w:val="000000"/>
        </w:rPr>
        <w:t>Positron Emision Tomography</w:t>
      </w:r>
      <w:r>
        <w:rPr>
          <w:rFonts w:cs="Arial"/>
          <w:color w:val="000000"/>
        </w:rPr>
        <w:t xml:space="preserve">) melalui pengadaan </w:t>
      </w:r>
      <w:r>
        <w:rPr>
          <w:rFonts w:cs="Arial"/>
          <w:i/>
          <w:color w:val="000000"/>
        </w:rPr>
        <w:t>cyclotron</w:t>
      </w:r>
      <w:r>
        <w:rPr>
          <w:rFonts w:cs="Arial"/>
          <w:color w:val="000000"/>
        </w:rPr>
        <w:t xml:space="preserve"> atau generator </w:t>
      </w:r>
      <w:r>
        <w:rPr>
          <w:rFonts w:cs="Arial"/>
          <w:i/>
          <w:color w:val="000000"/>
        </w:rPr>
        <w:t>gallium</w:t>
      </w:r>
      <w:r>
        <w:rPr>
          <w:rFonts w:cs="Arial"/>
          <w:color w:val="000000"/>
        </w:rPr>
        <w:t>. Pelayanan rawat inap di kedokteran Nuklir juga perlu ditingkatkan dalam sarana prasarana serta tenaga khususnya tenaga perawat agar pelaksanaan pelayanan sesuai standard yang ditetapkan.</w:t>
      </w:r>
    </w:p>
    <w:p>
      <w:pPr>
        <w:pStyle w:val="28"/>
        <w:numPr>
          <w:ilvl w:val="0"/>
          <w:numId w:val="5"/>
        </w:numPr>
        <w:spacing w:line="360" w:lineRule="auto"/>
        <w:ind w:left="450" w:hanging="450"/>
        <w:jc w:val="both"/>
        <w:rPr>
          <w:rFonts w:cs="Arial"/>
          <w:b/>
          <w:color w:val="000000"/>
        </w:rPr>
      </w:pPr>
      <w:r>
        <w:rPr>
          <w:rFonts w:cs="Arial"/>
          <w:b/>
          <w:color w:val="000000"/>
        </w:rPr>
        <w:t>Kecepatan pelayanan Resep Obat Jadi</w:t>
      </w:r>
    </w:p>
    <w:p>
      <w:pPr>
        <w:pStyle w:val="28"/>
        <w:spacing w:line="360" w:lineRule="auto"/>
        <w:ind w:left="0" w:firstLine="709"/>
        <w:contextualSpacing w:val="0"/>
        <w:jc w:val="both"/>
        <w:rPr>
          <w:rFonts w:cs="Arial"/>
          <w:color w:val="000000"/>
        </w:rPr>
      </w:pPr>
      <w:r>
        <w:rPr>
          <w:rFonts w:cs="Arial"/>
          <w:color w:val="000000"/>
        </w:rPr>
        <w:t>Di tahun 2012, kecepatan pelayanan resep obat jadi di RSHS adalah 32 menit, jauh lebih tinggi dibandingkan target yang ditetapkan (&lt;8 menit). Kecepatan pelayanan resep obat jadi di tahun 2013 s.d Triwulan III  mencapai 15 menit dan di triwulan IV mencapai 8,5 menit. Pada Semester I tahun 2014 sudah mencapai 8 menit dengan nilai 1,5. Jumlah resep pada tahun 2012 adalah 3.801.566 resep, pada tahun 2013 terlayani sebanyak 3.711.315 resep dengan pertumbuhan 0,98. Penulisan resep sesuai formularium tahun 2013 telah mencapai 99,06%, pada triwulan I tahun 2014 meningkat lagi menjadi 99,1% dengan capaian nilai 2.</w:t>
      </w:r>
    </w:p>
    <w:p>
      <w:pPr>
        <w:pStyle w:val="28"/>
        <w:spacing w:line="360" w:lineRule="auto"/>
        <w:ind w:left="0" w:firstLine="709"/>
        <w:contextualSpacing w:val="0"/>
        <w:jc w:val="both"/>
        <w:rPr>
          <w:rFonts w:cs="Arial"/>
          <w:color w:val="000000"/>
        </w:rPr>
      </w:pPr>
      <w:r>
        <w:rPr>
          <w:rFonts w:cs="Arial"/>
          <w:color w:val="000000"/>
        </w:rPr>
        <w:t>Permasalahan yang dihadapi dalam pelayanan Farmasi adalah ketersediaan obat/BMHP dan AMHP, untuk itu perlu terus ditingkatkan pengembangan satu pintu Farmasi untuk pelayanan obat/BMHP dan AMHP. Adanya ruang produksi farmasi yang memenuhi standard telah mulai diupayakan di tahun 2014. Pelayanan obat untuk pasien rawat inap belum sepenuhnya dilakukan oleh tenaga Farmasi. Selain itu, perlu dikembangkan pengujian bioavailabilitas obat-obatan yang digunakan di RSHS.</w:t>
      </w:r>
    </w:p>
    <w:p>
      <w:pPr>
        <w:pStyle w:val="28"/>
        <w:numPr>
          <w:ilvl w:val="0"/>
          <w:numId w:val="5"/>
        </w:numPr>
        <w:spacing w:line="360" w:lineRule="auto"/>
        <w:ind w:left="450" w:hanging="450"/>
        <w:jc w:val="both"/>
        <w:rPr>
          <w:rFonts w:cs="Arial"/>
          <w:b/>
          <w:color w:val="000000"/>
        </w:rPr>
      </w:pPr>
      <w:r>
        <w:rPr>
          <w:rFonts w:cs="Arial"/>
          <w:b/>
          <w:color w:val="000000"/>
        </w:rPr>
        <w:t>Kelengkapan dan Pengembalian Rekam Medis</w:t>
      </w:r>
    </w:p>
    <w:p>
      <w:pPr>
        <w:pStyle w:val="28"/>
        <w:spacing w:line="360" w:lineRule="auto"/>
        <w:ind w:left="0" w:firstLine="709"/>
        <w:contextualSpacing w:val="0"/>
        <w:jc w:val="both"/>
        <w:rPr>
          <w:rFonts w:cs="Arial"/>
          <w:color w:val="000000"/>
        </w:rPr>
      </w:pPr>
      <w:r>
        <w:rPr>
          <w:rFonts w:cs="Arial"/>
          <w:color w:val="000000"/>
        </w:rPr>
        <w:t xml:space="preserve">Kelengkapan rekam medik RSHS di akhir tahun 2013 mencapai 95%. Pengembalian rekam medis di akhir tahun 2013 mencapai 96%. Pada Semester I tahun 2014 capaian kelengkapan rekam medis mencapai 75%, dan pengembalian rekam medik dalam 24 jam mencapai 97%. Penyelenggaraan pelayanan Jaminan Kesehatan Nasional sangat menuntut kelengkapan dan pengembalian rekam medik tepat waktu, sehingga untuk hal ini, peningkatan kualitas pengisian rekam medik perlu terus ditingkatkan melalui monitoring dan evaluasi berkala. </w:t>
      </w:r>
    </w:p>
    <w:p>
      <w:pPr>
        <w:pStyle w:val="28"/>
        <w:spacing w:line="360" w:lineRule="auto"/>
        <w:ind w:left="0" w:firstLine="709"/>
        <w:contextualSpacing w:val="0"/>
        <w:jc w:val="both"/>
        <w:rPr>
          <w:rFonts w:cs="Arial"/>
          <w:color w:val="000000"/>
        </w:rPr>
      </w:pPr>
      <w:r>
        <w:rPr>
          <w:rFonts w:cs="Arial"/>
          <w:color w:val="000000"/>
        </w:rPr>
        <w:t xml:space="preserve">Dalam hal sarana prasarana, rekam medik membutuhkan segera penataan dan peningkatan, agar tersedia ruang penyimpanan rekam medik yang tersentral dan memadai baik untuk pelayanan rawat jalan, gawat darurat, dan rawat inap. Pengembangan </w:t>
      </w:r>
      <w:r>
        <w:rPr>
          <w:rFonts w:cs="Arial"/>
          <w:i/>
          <w:color w:val="000000"/>
        </w:rPr>
        <w:t>e-medical record</w:t>
      </w:r>
      <w:r>
        <w:rPr>
          <w:rFonts w:cs="Arial"/>
          <w:color w:val="000000"/>
        </w:rPr>
        <w:t xml:space="preserve"> perlu terus ditingkatkan sebagai upaya </w:t>
      </w:r>
      <w:r>
        <w:rPr>
          <w:rFonts w:cs="Arial"/>
          <w:i/>
          <w:color w:val="000000"/>
        </w:rPr>
        <w:t xml:space="preserve">less paper medical record. </w:t>
      </w:r>
    </w:p>
    <w:p>
      <w:pPr>
        <w:rPr>
          <w:b/>
          <w:i/>
        </w:rPr>
      </w:pPr>
      <w:bookmarkStart w:id="17" w:name="_Toc386980465"/>
      <w:r>
        <w:rPr>
          <w:b/>
          <w:i/>
        </w:rPr>
        <w:t>2.</w:t>
      </w:r>
      <w:r>
        <w:rPr>
          <w:b/>
          <w:i/>
          <w:lang w:val="id-ID"/>
        </w:rPr>
        <w:t>1.</w:t>
      </w:r>
      <w:r>
        <w:rPr>
          <w:b/>
          <w:i/>
        </w:rPr>
        <w:t>2 Gambaran Kinerja Aspek Keuangan</w:t>
      </w:r>
    </w:p>
    <w:bookmarkEnd w:id="17"/>
    <w:p>
      <w:pPr>
        <w:spacing w:line="360" w:lineRule="auto"/>
        <w:ind w:firstLine="709"/>
        <w:jc w:val="both"/>
        <w:rPr>
          <w:rFonts w:cs="Arial"/>
          <w:color w:val="000000"/>
        </w:rPr>
      </w:pPr>
      <w:r>
        <w:rPr>
          <w:rFonts w:cs="Arial"/>
          <w:color w:val="000000"/>
        </w:rPr>
        <w:t>Gambaran kinerja keuangan pada RSUP Dr. Hasan Sadikin Bandung dalam memenuhi target dari Rencana Stategis Bisnis periode tahun 200</w:t>
      </w:r>
      <w:r>
        <w:rPr>
          <w:rFonts w:cs="Arial"/>
          <w:color w:val="000000"/>
          <w:lang w:val="id-ID"/>
        </w:rPr>
        <w:t>9</w:t>
      </w:r>
      <w:r>
        <w:rPr>
          <w:rFonts w:cs="Arial"/>
          <w:color w:val="000000"/>
        </w:rPr>
        <w:t xml:space="preserve"> sampai dengan tahun 2013:</w:t>
      </w:r>
    </w:p>
    <w:p>
      <w:pPr>
        <w:pStyle w:val="30"/>
        <w:keepNext/>
        <w:numPr>
          <w:ilvl w:val="0"/>
          <w:numId w:val="4"/>
        </w:numPr>
        <w:spacing w:before="0" w:after="0"/>
        <w:ind w:left="426" w:hanging="426"/>
        <w:rPr>
          <w:rFonts w:ascii="Calibri" w:hAnsi="Calibri" w:cs="Calibri"/>
          <w:sz w:val="24"/>
          <w:szCs w:val="24"/>
          <w:lang w:eastAsia="en-GB"/>
        </w:rPr>
      </w:pPr>
      <w:r>
        <w:rPr>
          <w:rFonts w:cs="Arial"/>
          <w:color w:val="000000"/>
        </w:rPr>
        <w:t>Rasio Keuangan</w:t>
      </w:r>
    </w:p>
    <w:p>
      <w:pPr>
        <w:spacing w:line="360" w:lineRule="auto"/>
        <w:ind w:left="426"/>
        <w:contextualSpacing/>
        <w:jc w:val="both"/>
        <w:rPr>
          <w:rFonts w:cs="Arial"/>
          <w:color w:val="000000"/>
          <w:lang w:val="id-ID"/>
        </w:rPr>
      </w:pPr>
      <w:r>
        <w:rPr>
          <w:rFonts w:cs="Arial"/>
          <w:color w:val="000000"/>
        </w:rPr>
        <w:t>Terdiri dari: Rasio kas (</w:t>
      </w:r>
      <w:r>
        <w:rPr>
          <w:rFonts w:cs="Arial"/>
          <w:i/>
          <w:color w:val="000000"/>
        </w:rPr>
        <w:t>cash ratio</w:t>
      </w:r>
      <w:r>
        <w:rPr>
          <w:rFonts w:cs="Arial"/>
          <w:color w:val="000000"/>
        </w:rPr>
        <w:t>), Rasio Lancar (</w:t>
      </w:r>
      <w:r>
        <w:rPr>
          <w:rFonts w:cs="Arial"/>
          <w:i/>
          <w:color w:val="000000"/>
        </w:rPr>
        <w:t>current ratio</w:t>
      </w:r>
      <w:r>
        <w:rPr>
          <w:rFonts w:cs="Arial"/>
          <w:color w:val="000000"/>
        </w:rPr>
        <w:t>), Periode penagihan piutang (</w:t>
      </w:r>
      <w:r>
        <w:rPr>
          <w:rFonts w:cs="Arial"/>
          <w:i/>
          <w:color w:val="000000"/>
        </w:rPr>
        <w:t>Collection Period</w:t>
      </w:r>
      <w:r>
        <w:rPr>
          <w:rFonts w:cs="Arial"/>
          <w:color w:val="000000"/>
        </w:rPr>
        <w:t>), perputaran persediaan (</w:t>
      </w:r>
      <w:r>
        <w:rPr>
          <w:rFonts w:cs="Arial"/>
          <w:i/>
          <w:color w:val="000000"/>
        </w:rPr>
        <w:t>inventory turn-over</w:t>
      </w:r>
      <w:r>
        <w:rPr>
          <w:rFonts w:cs="Arial"/>
          <w:color w:val="000000"/>
        </w:rPr>
        <w:t>), Perputaran aset tetap (</w:t>
      </w:r>
      <w:r>
        <w:rPr>
          <w:rFonts w:cs="Arial"/>
          <w:i/>
          <w:color w:val="000000"/>
        </w:rPr>
        <w:t>fixed current asset</w:t>
      </w:r>
      <w:r>
        <w:rPr>
          <w:rFonts w:cs="Arial"/>
          <w:color w:val="000000"/>
        </w:rPr>
        <w:t>), Imbalan Ekuitas (</w:t>
      </w:r>
      <w:r>
        <w:rPr>
          <w:rFonts w:cs="Arial"/>
          <w:i/>
          <w:color w:val="000000"/>
        </w:rPr>
        <w:t>Return of Equity</w:t>
      </w:r>
      <w:r>
        <w:rPr>
          <w:rFonts w:cs="Arial"/>
          <w:color w:val="000000"/>
        </w:rPr>
        <w:t>), Rasio pendapatan PNBP terhadap biaya operasional, dan Rasio subsidi biaya pasien.</w:t>
      </w:r>
    </w:p>
    <w:p>
      <w:pPr>
        <w:pStyle w:val="9"/>
        <w:rPr>
          <w:lang w:val="id-ID"/>
        </w:rPr>
      </w:pPr>
      <w:bookmarkStart w:id="18" w:name="_Toc430523087"/>
      <w:r>
        <w:t xml:space="preserve">Tabel 2. </w:t>
      </w:r>
      <w:r>
        <w:fldChar w:fldCharType="begin"/>
      </w:r>
      <w:r>
        <w:instrText xml:space="preserve"> SEQ Tabel_2. \* ARABIC </w:instrText>
      </w:r>
      <w:r>
        <w:fldChar w:fldCharType="separate"/>
      </w:r>
      <w:r>
        <w:t>5</w:t>
      </w:r>
      <w:r>
        <w:fldChar w:fldCharType="end"/>
      </w:r>
      <w:r>
        <w:t xml:space="preserve"> Hasil Perhitungan Rasio KeuanganTahun 2009-2013</w:t>
      </w:r>
      <w:bookmarkEnd w:id="18"/>
    </w:p>
    <w:tbl>
      <w:tblPr>
        <w:tblStyle w:val="47"/>
        <w:tblW w:w="13465"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504"/>
        <w:gridCol w:w="6112"/>
        <w:gridCol w:w="1437"/>
        <w:gridCol w:w="1351"/>
        <w:gridCol w:w="1317"/>
        <w:gridCol w:w="1341"/>
        <w:gridCol w:w="1403"/>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jc w:val="center"/>
        </w:trPr>
        <w:tc>
          <w:tcPr>
            <w:tcW w:w="504" w:type="dxa"/>
            <w:shd w:val="clear" w:color="auto" w:fill="ECCF74"/>
          </w:tcPr>
          <w:p>
            <w:pPr>
              <w:spacing w:after="0" w:line="360" w:lineRule="auto"/>
              <w:jc w:val="both"/>
              <w:rPr>
                <w:rFonts w:cs="Arial"/>
                <w:b/>
                <w:color w:val="000000"/>
              </w:rPr>
            </w:pPr>
            <w:r>
              <w:rPr>
                <w:rFonts w:cs="Arial"/>
                <w:b/>
                <w:color w:val="000000"/>
              </w:rPr>
              <w:t>No</w:t>
            </w:r>
          </w:p>
        </w:tc>
        <w:tc>
          <w:tcPr>
            <w:tcW w:w="6112" w:type="dxa"/>
            <w:shd w:val="clear" w:color="auto" w:fill="ECCF74"/>
          </w:tcPr>
          <w:p>
            <w:pPr>
              <w:spacing w:after="0" w:line="360" w:lineRule="auto"/>
              <w:jc w:val="both"/>
              <w:rPr>
                <w:rFonts w:cs="Arial"/>
                <w:b/>
                <w:color w:val="000000"/>
              </w:rPr>
            </w:pPr>
            <w:r>
              <w:rPr>
                <w:rFonts w:cs="Arial"/>
                <w:b/>
                <w:color w:val="000000"/>
              </w:rPr>
              <w:t>Rasio Keuangan</w:t>
            </w:r>
          </w:p>
        </w:tc>
        <w:tc>
          <w:tcPr>
            <w:tcW w:w="1437" w:type="dxa"/>
            <w:shd w:val="clear" w:color="auto" w:fill="ECCF74"/>
          </w:tcPr>
          <w:p>
            <w:pPr>
              <w:spacing w:after="0" w:line="360" w:lineRule="auto"/>
              <w:jc w:val="center"/>
              <w:rPr>
                <w:rFonts w:cs="Arial"/>
                <w:b/>
                <w:color w:val="000000"/>
              </w:rPr>
            </w:pPr>
            <w:r>
              <w:rPr>
                <w:rFonts w:cs="Arial"/>
                <w:b/>
                <w:color w:val="000000"/>
              </w:rPr>
              <w:t>2009</w:t>
            </w:r>
          </w:p>
        </w:tc>
        <w:tc>
          <w:tcPr>
            <w:tcW w:w="1351" w:type="dxa"/>
            <w:shd w:val="clear" w:color="auto" w:fill="ECCF74"/>
          </w:tcPr>
          <w:p>
            <w:pPr>
              <w:spacing w:after="0" w:line="360" w:lineRule="auto"/>
              <w:jc w:val="center"/>
              <w:rPr>
                <w:rFonts w:cs="Arial"/>
                <w:b/>
                <w:color w:val="000000"/>
              </w:rPr>
            </w:pPr>
            <w:r>
              <w:rPr>
                <w:rFonts w:cs="Arial"/>
                <w:b/>
                <w:color w:val="000000"/>
              </w:rPr>
              <w:t>2010</w:t>
            </w:r>
          </w:p>
        </w:tc>
        <w:tc>
          <w:tcPr>
            <w:tcW w:w="1317" w:type="dxa"/>
            <w:shd w:val="clear" w:color="auto" w:fill="ECCF74"/>
          </w:tcPr>
          <w:p>
            <w:pPr>
              <w:spacing w:after="0" w:line="360" w:lineRule="auto"/>
              <w:jc w:val="center"/>
              <w:rPr>
                <w:rFonts w:cs="Arial"/>
                <w:b/>
                <w:color w:val="000000"/>
              </w:rPr>
            </w:pPr>
            <w:r>
              <w:rPr>
                <w:rFonts w:cs="Arial"/>
                <w:b/>
                <w:color w:val="000000"/>
              </w:rPr>
              <w:t>2011</w:t>
            </w:r>
          </w:p>
        </w:tc>
        <w:tc>
          <w:tcPr>
            <w:tcW w:w="1341" w:type="dxa"/>
            <w:shd w:val="clear" w:color="auto" w:fill="ECCF74"/>
          </w:tcPr>
          <w:p>
            <w:pPr>
              <w:spacing w:after="0" w:line="360" w:lineRule="auto"/>
              <w:jc w:val="center"/>
              <w:rPr>
                <w:rFonts w:cs="Arial"/>
                <w:b/>
                <w:color w:val="000000"/>
              </w:rPr>
            </w:pPr>
            <w:r>
              <w:rPr>
                <w:rFonts w:cs="Arial"/>
                <w:b/>
                <w:color w:val="000000"/>
              </w:rPr>
              <w:t>2012</w:t>
            </w:r>
          </w:p>
        </w:tc>
        <w:tc>
          <w:tcPr>
            <w:tcW w:w="1403" w:type="dxa"/>
            <w:shd w:val="clear" w:color="auto" w:fill="ECCF74"/>
          </w:tcPr>
          <w:p>
            <w:pPr>
              <w:spacing w:after="0" w:line="360" w:lineRule="auto"/>
              <w:jc w:val="center"/>
              <w:rPr>
                <w:rFonts w:cs="Arial"/>
                <w:b/>
                <w:color w:val="000000"/>
              </w:rPr>
            </w:pPr>
            <w:r>
              <w:rPr>
                <w:rFonts w:cs="Arial"/>
                <w:b/>
                <w:color w:val="000000"/>
              </w:rPr>
              <w:t>2013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1.</w:t>
            </w:r>
          </w:p>
        </w:tc>
        <w:tc>
          <w:tcPr>
            <w:tcW w:w="6112" w:type="dxa"/>
          </w:tcPr>
          <w:p>
            <w:pPr>
              <w:spacing w:after="0" w:line="360" w:lineRule="auto"/>
              <w:rPr>
                <w:rFonts w:cs="Arial"/>
                <w:color w:val="000000"/>
              </w:rPr>
            </w:pPr>
            <w:r>
              <w:rPr>
                <w:rFonts w:cs="Arial"/>
                <w:color w:val="000000"/>
              </w:rPr>
              <w:t xml:space="preserve">Imbalan Investasi </w:t>
            </w:r>
          </w:p>
        </w:tc>
        <w:tc>
          <w:tcPr>
            <w:tcW w:w="1437" w:type="dxa"/>
          </w:tcPr>
          <w:p>
            <w:pPr>
              <w:spacing w:after="0" w:line="360" w:lineRule="auto"/>
              <w:jc w:val="center"/>
              <w:rPr>
                <w:rFonts w:cs="Arial"/>
                <w:color w:val="000000"/>
              </w:rPr>
            </w:pPr>
            <w:r>
              <w:rPr>
                <w:rFonts w:cs="Arial"/>
                <w:color w:val="000000"/>
              </w:rPr>
              <w:t>6,95 %</w:t>
            </w:r>
          </w:p>
        </w:tc>
        <w:tc>
          <w:tcPr>
            <w:tcW w:w="1351" w:type="dxa"/>
          </w:tcPr>
          <w:p>
            <w:pPr>
              <w:spacing w:after="0" w:line="360" w:lineRule="auto"/>
              <w:jc w:val="center"/>
              <w:rPr>
                <w:rFonts w:cs="Arial"/>
                <w:color w:val="000000"/>
              </w:rPr>
            </w:pPr>
            <w:r>
              <w:rPr>
                <w:rFonts w:cs="Arial"/>
                <w:color w:val="000000"/>
              </w:rPr>
              <w:t>5,46%</w:t>
            </w:r>
          </w:p>
        </w:tc>
        <w:tc>
          <w:tcPr>
            <w:tcW w:w="1317" w:type="dxa"/>
          </w:tcPr>
          <w:p>
            <w:pPr>
              <w:spacing w:after="0" w:line="360" w:lineRule="auto"/>
              <w:jc w:val="center"/>
              <w:rPr>
                <w:rFonts w:cs="Arial"/>
                <w:color w:val="000000"/>
              </w:rPr>
            </w:pPr>
            <w:r>
              <w:rPr>
                <w:rFonts w:cs="Arial"/>
                <w:color w:val="000000"/>
              </w:rPr>
              <w:t>7,70%</w:t>
            </w:r>
          </w:p>
        </w:tc>
        <w:tc>
          <w:tcPr>
            <w:tcW w:w="1341" w:type="dxa"/>
          </w:tcPr>
          <w:p>
            <w:pPr>
              <w:spacing w:after="0" w:line="360" w:lineRule="auto"/>
              <w:jc w:val="center"/>
              <w:rPr>
                <w:rFonts w:cs="Arial"/>
              </w:rPr>
            </w:pPr>
            <w:r>
              <w:rPr>
                <w:rFonts w:cs="Arial"/>
              </w:rPr>
              <w:t>14,70%</w:t>
            </w:r>
          </w:p>
        </w:tc>
        <w:tc>
          <w:tcPr>
            <w:tcW w:w="1403" w:type="dxa"/>
          </w:tcPr>
          <w:p>
            <w:pPr>
              <w:spacing w:after="0" w:line="360" w:lineRule="auto"/>
              <w:jc w:val="center"/>
              <w:rPr>
                <w:rFonts w:cs="Arial"/>
              </w:rPr>
            </w:pPr>
            <w:r>
              <w:rPr>
                <w:rFonts w:cs="Arial"/>
              </w:rPr>
              <w:t>11,09%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2.</w:t>
            </w:r>
          </w:p>
        </w:tc>
        <w:tc>
          <w:tcPr>
            <w:tcW w:w="6112" w:type="dxa"/>
          </w:tcPr>
          <w:p>
            <w:pPr>
              <w:spacing w:after="0" w:line="360" w:lineRule="auto"/>
              <w:rPr>
                <w:rFonts w:cs="Arial"/>
                <w:color w:val="000000"/>
              </w:rPr>
            </w:pPr>
            <w:r>
              <w:rPr>
                <w:rFonts w:cs="Arial"/>
                <w:color w:val="000000"/>
              </w:rPr>
              <w:t>Rasio Kas</w:t>
            </w:r>
          </w:p>
        </w:tc>
        <w:tc>
          <w:tcPr>
            <w:tcW w:w="1437" w:type="dxa"/>
          </w:tcPr>
          <w:p>
            <w:pPr>
              <w:spacing w:after="0" w:line="360" w:lineRule="auto"/>
              <w:jc w:val="center"/>
              <w:rPr>
                <w:rFonts w:cs="Arial"/>
                <w:color w:val="000000"/>
              </w:rPr>
            </w:pPr>
            <w:r>
              <w:rPr>
                <w:rFonts w:cs="Arial"/>
                <w:color w:val="000000"/>
              </w:rPr>
              <w:t>47,84 %</w:t>
            </w:r>
          </w:p>
        </w:tc>
        <w:tc>
          <w:tcPr>
            <w:tcW w:w="1351" w:type="dxa"/>
          </w:tcPr>
          <w:p>
            <w:pPr>
              <w:spacing w:after="0" w:line="360" w:lineRule="auto"/>
              <w:jc w:val="center"/>
              <w:rPr>
                <w:rFonts w:cs="Arial"/>
              </w:rPr>
            </w:pPr>
            <w:r>
              <w:rPr>
                <w:rFonts w:cs="Arial"/>
              </w:rPr>
              <w:t>110,20%</w:t>
            </w:r>
          </w:p>
        </w:tc>
        <w:tc>
          <w:tcPr>
            <w:tcW w:w="1317" w:type="dxa"/>
          </w:tcPr>
          <w:p>
            <w:pPr>
              <w:spacing w:after="0" w:line="360" w:lineRule="auto"/>
              <w:jc w:val="center"/>
              <w:rPr>
                <w:rFonts w:cs="Arial"/>
                <w:color w:val="000000"/>
              </w:rPr>
            </w:pPr>
            <w:r>
              <w:rPr>
                <w:rFonts w:cs="Arial"/>
                <w:color w:val="000000"/>
              </w:rPr>
              <w:t>56,48%</w:t>
            </w:r>
          </w:p>
        </w:tc>
        <w:tc>
          <w:tcPr>
            <w:tcW w:w="1341" w:type="dxa"/>
          </w:tcPr>
          <w:p>
            <w:pPr>
              <w:spacing w:after="0" w:line="360" w:lineRule="auto"/>
              <w:jc w:val="center"/>
              <w:rPr>
                <w:rFonts w:cs="Arial"/>
              </w:rPr>
            </w:pPr>
            <w:r>
              <w:rPr>
                <w:rFonts w:cs="Arial"/>
              </w:rPr>
              <w:t>66,97%</w:t>
            </w:r>
          </w:p>
        </w:tc>
        <w:tc>
          <w:tcPr>
            <w:tcW w:w="1403" w:type="dxa"/>
          </w:tcPr>
          <w:p>
            <w:pPr>
              <w:spacing w:after="0" w:line="360" w:lineRule="auto"/>
              <w:jc w:val="center"/>
              <w:rPr>
                <w:rFonts w:cs="Arial"/>
              </w:rPr>
            </w:pPr>
            <w:r>
              <w:rPr>
                <w:rFonts w:cs="Arial"/>
              </w:rPr>
              <w:t>155,63%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3.</w:t>
            </w:r>
          </w:p>
        </w:tc>
        <w:tc>
          <w:tcPr>
            <w:tcW w:w="6112" w:type="dxa"/>
          </w:tcPr>
          <w:p>
            <w:pPr>
              <w:spacing w:after="0" w:line="360" w:lineRule="auto"/>
              <w:rPr>
                <w:rFonts w:cs="Arial"/>
                <w:color w:val="000000"/>
              </w:rPr>
            </w:pPr>
            <w:r>
              <w:rPr>
                <w:rFonts w:cs="Arial"/>
                <w:color w:val="000000"/>
              </w:rPr>
              <w:t>Rasio Lancar</w:t>
            </w:r>
          </w:p>
        </w:tc>
        <w:tc>
          <w:tcPr>
            <w:tcW w:w="1437" w:type="dxa"/>
          </w:tcPr>
          <w:p>
            <w:pPr>
              <w:spacing w:after="0" w:line="360" w:lineRule="auto"/>
              <w:jc w:val="center"/>
              <w:rPr>
                <w:rFonts w:cs="Arial"/>
                <w:color w:val="000000"/>
              </w:rPr>
            </w:pPr>
            <w:r>
              <w:rPr>
                <w:rFonts w:cs="Arial"/>
                <w:color w:val="000000"/>
              </w:rPr>
              <w:t>347,82%</w:t>
            </w:r>
          </w:p>
        </w:tc>
        <w:tc>
          <w:tcPr>
            <w:tcW w:w="1351" w:type="dxa"/>
          </w:tcPr>
          <w:p>
            <w:pPr>
              <w:spacing w:after="0" w:line="360" w:lineRule="auto"/>
              <w:jc w:val="center"/>
              <w:rPr>
                <w:rFonts w:cs="Arial"/>
                <w:color w:val="000000"/>
              </w:rPr>
            </w:pPr>
            <w:r>
              <w:rPr>
                <w:rFonts w:cs="Arial"/>
                <w:color w:val="000000"/>
              </w:rPr>
              <w:t>265,95%</w:t>
            </w:r>
          </w:p>
        </w:tc>
        <w:tc>
          <w:tcPr>
            <w:tcW w:w="1317" w:type="dxa"/>
          </w:tcPr>
          <w:p>
            <w:pPr>
              <w:spacing w:after="0" w:line="360" w:lineRule="auto"/>
              <w:jc w:val="center"/>
              <w:rPr>
                <w:rFonts w:cs="Arial"/>
              </w:rPr>
            </w:pPr>
            <w:r>
              <w:rPr>
                <w:rFonts w:cs="Arial"/>
              </w:rPr>
              <w:t>124,54%</w:t>
            </w:r>
          </w:p>
        </w:tc>
        <w:tc>
          <w:tcPr>
            <w:tcW w:w="1341" w:type="dxa"/>
          </w:tcPr>
          <w:p>
            <w:pPr>
              <w:spacing w:after="0" w:line="360" w:lineRule="auto"/>
              <w:jc w:val="center"/>
              <w:rPr>
                <w:rFonts w:cs="Arial"/>
              </w:rPr>
            </w:pPr>
            <w:r>
              <w:rPr>
                <w:rFonts w:cs="Arial"/>
              </w:rPr>
              <w:t>237,11%</w:t>
            </w:r>
          </w:p>
        </w:tc>
        <w:tc>
          <w:tcPr>
            <w:tcW w:w="1403" w:type="dxa"/>
          </w:tcPr>
          <w:p>
            <w:pPr>
              <w:spacing w:after="0" w:line="360" w:lineRule="auto"/>
              <w:jc w:val="center"/>
              <w:rPr>
                <w:rFonts w:cs="Arial"/>
              </w:rPr>
            </w:pPr>
            <w:r>
              <w:rPr>
                <w:rFonts w:cs="Arial"/>
              </w:rPr>
              <w:t>820,21%</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4.</w:t>
            </w:r>
          </w:p>
        </w:tc>
        <w:tc>
          <w:tcPr>
            <w:tcW w:w="6112" w:type="dxa"/>
          </w:tcPr>
          <w:p>
            <w:pPr>
              <w:spacing w:after="0" w:line="360" w:lineRule="auto"/>
              <w:rPr>
                <w:rFonts w:cs="Arial"/>
                <w:color w:val="000000"/>
              </w:rPr>
            </w:pPr>
            <w:r>
              <w:rPr>
                <w:rFonts w:cs="Arial"/>
                <w:color w:val="000000"/>
              </w:rPr>
              <w:t>Periode Penagihan Piutang</w:t>
            </w:r>
          </w:p>
        </w:tc>
        <w:tc>
          <w:tcPr>
            <w:tcW w:w="1437" w:type="dxa"/>
          </w:tcPr>
          <w:p>
            <w:pPr>
              <w:spacing w:after="0" w:line="360" w:lineRule="auto"/>
              <w:jc w:val="center"/>
              <w:rPr>
                <w:rFonts w:cs="Arial"/>
                <w:color w:val="000000"/>
              </w:rPr>
            </w:pPr>
            <w:r>
              <w:rPr>
                <w:rFonts w:cs="Arial"/>
                <w:color w:val="000000"/>
              </w:rPr>
              <w:t>33 hari</w:t>
            </w:r>
          </w:p>
        </w:tc>
        <w:tc>
          <w:tcPr>
            <w:tcW w:w="1351" w:type="dxa"/>
          </w:tcPr>
          <w:p>
            <w:pPr>
              <w:spacing w:after="0" w:line="360" w:lineRule="auto"/>
              <w:jc w:val="center"/>
              <w:rPr>
                <w:rFonts w:cs="Arial"/>
                <w:color w:val="000000"/>
              </w:rPr>
            </w:pPr>
            <w:r>
              <w:rPr>
                <w:rFonts w:cs="Arial"/>
                <w:color w:val="000000"/>
              </w:rPr>
              <w:t>31 hari</w:t>
            </w:r>
          </w:p>
        </w:tc>
        <w:tc>
          <w:tcPr>
            <w:tcW w:w="1317" w:type="dxa"/>
          </w:tcPr>
          <w:p>
            <w:pPr>
              <w:spacing w:after="0" w:line="360" w:lineRule="auto"/>
              <w:jc w:val="center"/>
              <w:rPr>
                <w:rFonts w:cs="Arial"/>
              </w:rPr>
            </w:pPr>
            <w:r>
              <w:rPr>
                <w:rFonts w:cs="Arial"/>
              </w:rPr>
              <w:t>63 hari</w:t>
            </w:r>
          </w:p>
        </w:tc>
        <w:tc>
          <w:tcPr>
            <w:tcW w:w="1341" w:type="dxa"/>
          </w:tcPr>
          <w:p>
            <w:pPr>
              <w:spacing w:after="0" w:line="360" w:lineRule="auto"/>
              <w:jc w:val="center"/>
              <w:rPr>
                <w:rFonts w:cs="Arial"/>
              </w:rPr>
            </w:pPr>
            <w:r>
              <w:rPr>
                <w:rFonts w:cs="Arial"/>
              </w:rPr>
              <w:t>63 hari</w:t>
            </w:r>
          </w:p>
        </w:tc>
        <w:tc>
          <w:tcPr>
            <w:tcW w:w="1403" w:type="dxa"/>
          </w:tcPr>
          <w:p>
            <w:pPr>
              <w:spacing w:after="0" w:line="360" w:lineRule="auto"/>
              <w:jc w:val="center"/>
              <w:rPr>
                <w:rFonts w:cs="Arial"/>
              </w:rPr>
            </w:pPr>
            <w:r>
              <w:rPr>
                <w:rFonts w:cs="Arial"/>
              </w:rPr>
              <w:t>63 hari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5.</w:t>
            </w:r>
          </w:p>
        </w:tc>
        <w:tc>
          <w:tcPr>
            <w:tcW w:w="6112" w:type="dxa"/>
          </w:tcPr>
          <w:p>
            <w:pPr>
              <w:spacing w:after="0" w:line="360" w:lineRule="auto"/>
              <w:rPr>
                <w:rFonts w:cs="Arial"/>
                <w:color w:val="000000"/>
              </w:rPr>
            </w:pPr>
            <w:r>
              <w:rPr>
                <w:rFonts w:cs="Arial"/>
                <w:color w:val="000000"/>
              </w:rPr>
              <w:t>Perputaran Persediaan</w:t>
            </w:r>
          </w:p>
        </w:tc>
        <w:tc>
          <w:tcPr>
            <w:tcW w:w="1437" w:type="dxa"/>
          </w:tcPr>
          <w:p>
            <w:pPr>
              <w:spacing w:after="0" w:line="360" w:lineRule="auto"/>
              <w:jc w:val="center"/>
              <w:rPr>
                <w:rFonts w:cs="Arial"/>
                <w:color w:val="000000"/>
              </w:rPr>
            </w:pPr>
            <w:r>
              <w:rPr>
                <w:rFonts w:cs="Arial"/>
                <w:color w:val="000000"/>
              </w:rPr>
              <w:t>19 hari</w:t>
            </w:r>
          </w:p>
        </w:tc>
        <w:tc>
          <w:tcPr>
            <w:tcW w:w="1351" w:type="dxa"/>
          </w:tcPr>
          <w:p>
            <w:pPr>
              <w:spacing w:after="0" w:line="360" w:lineRule="auto"/>
              <w:jc w:val="center"/>
              <w:rPr>
                <w:rFonts w:cs="Arial"/>
                <w:color w:val="000000"/>
              </w:rPr>
            </w:pPr>
            <w:r>
              <w:rPr>
                <w:rFonts w:cs="Arial"/>
                <w:color w:val="000000"/>
              </w:rPr>
              <w:t>14 hari</w:t>
            </w:r>
          </w:p>
        </w:tc>
        <w:tc>
          <w:tcPr>
            <w:tcW w:w="1317" w:type="dxa"/>
          </w:tcPr>
          <w:p>
            <w:pPr>
              <w:spacing w:after="0" w:line="360" w:lineRule="auto"/>
              <w:jc w:val="center"/>
              <w:rPr>
                <w:rFonts w:cs="Arial"/>
                <w:color w:val="000000"/>
              </w:rPr>
            </w:pPr>
            <w:r>
              <w:rPr>
                <w:rFonts w:cs="Arial"/>
                <w:color w:val="000000"/>
              </w:rPr>
              <w:t>16 hari</w:t>
            </w:r>
          </w:p>
        </w:tc>
        <w:tc>
          <w:tcPr>
            <w:tcW w:w="1341" w:type="dxa"/>
          </w:tcPr>
          <w:p>
            <w:pPr>
              <w:spacing w:after="0" w:line="360" w:lineRule="auto"/>
              <w:jc w:val="center"/>
              <w:rPr>
                <w:rFonts w:cs="Arial"/>
              </w:rPr>
            </w:pPr>
            <w:r>
              <w:rPr>
                <w:rFonts w:cs="Arial"/>
              </w:rPr>
              <w:t>27 hari</w:t>
            </w:r>
          </w:p>
        </w:tc>
        <w:tc>
          <w:tcPr>
            <w:tcW w:w="1403" w:type="dxa"/>
          </w:tcPr>
          <w:p>
            <w:pPr>
              <w:spacing w:after="0" w:line="360" w:lineRule="auto"/>
              <w:jc w:val="center"/>
              <w:rPr>
                <w:rFonts w:cs="Arial"/>
                <w:color w:val="000000"/>
              </w:rPr>
            </w:pPr>
            <w:r>
              <w:rPr>
                <w:rFonts w:cs="Arial"/>
                <w:color w:val="000000"/>
              </w:rPr>
              <w:t>17 hari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6.</w:t>
            </w:r>
          </w:p>
        </w:tc>
        <w:tc>
          <w:tcPr>
            <w:tcW w:w="6112" w:type="dxa"/>
          </w:tcPr>
          <w:p>
            <w:pPr>
              <w:spacing w:after="0" w:line="360" w:lineRule="auto"/>
              <w:rPr>
                <w:rFonts w:cs="Arial"/>
                <w:color w:val="000000"/>
              </w:rPr>
            </w:pPr>
            <w:r>
              <w:rPr>
                <w:rFonts w:cs="Arial"/>
                <w:color w:val="000000"/>
              </w:rPr>
              <w:t>Perputaran Aset Tetap</w:t>
            </w:r>
          </w:p>
        </w:tc>
        <w:tc>
          <w:tcPr>
            <w:tcW w:w="1437" w:type="dxa"/>
          </w:tcPr>
          <w:p>
            <w:pPr>
              <w:spacing w:after="0" w:line="360" w:lineRule="auto"/>
              <w:jc w:val="center"/>
              <w:rPr>
                <w:rFonts w:cs="Arial"/>
              </w:rPr>
            </w:pPr>
            <w:r>
              <w:rPr>
                <w:rFonts w:cs="Arial"/>
              </w:rPr>
              <w:t>129,86%</w:t>
            </w:r>
          </w:p>
        </w:tc>
        <w:tc>
          <w:tcPr>
            <w:tcW w:w="1351" w:type="dxa"/>
          </w:tcPr>
          <w:p>
            <w:pPr>
              <w:spacing w:after="0" w:line="360" w:lineRule="auto"/>
              <w:jc w:val="center"/>
              <w:rPr>
                <w:rFonts w:cs="Arial"/>
              </w:rPr>
            </w:pPr>
            <w:r>
              <w:rPr>
                <w:rFonts w:cs="Arial"/>
              </w:rPr>
              <w:t>50.61%</w:t>
            </w:r>
          </w:p>
        </w:tc>
        <w:tc>
          <w:tcPr>
            <w:tcW w:w="1317" w:type="dxa"/>
          </w:tcPr>
          <w:p>
            <w:pPr>
              <w:spacing w:after="0" w:line="360" w:lineRule="auto"/>
              <w:jc w:val="center"/>
              <w:rPr>
                <w:rFonts w:cs="Arial"/>
              </w:rPr>
            </w:pPr>
            <w:r>
              <w:rPr>
                <w:rFonts w:cs="Arial"/>
              </w:rPr>
              <w:t>81.09%</w:t>
            </w:r>
          </w:p>
        </w:tc>
        <w:tc>
          <w:tcPr>
            <w:tcW w:w="1341" w:type="dxa"/>
          </w:tcPr>
          <w:p>
            <w:pPr>
              <w:spacing w:after="0" w:line="360" w:lineRule="auto"/>
              <w:jc w:val="center"/>
              <w:rPr>
                <w:rFonts w:cs="Arial"/>
              </w:rPr>
            </w:pPr>
            <w:r>
              <w:rPr>
                <w:rFonts w:cs="Arial"/>
              </w:rPr>
              <w:t>50.61%</w:t>
            </w:r>
          </w:p>
        </w:tc>
        <w:tc>
          <w:tcPr>
            <w:tcW w:w="1403" w:type="dxa"/>
          </w:tcPr>
          <w:p>
            <w:pPr>
              <w:spacing w:after="0" w:line="360" w:lineRule="auto"/>
              <w:jc w:val="center"/>
              <w:rPr>
                <w:rFonts w:cs="Arial"/>
              </w:rPr>
            </w:pPr>
            <w:r>
              <w:rPr>
                <w:rFonts w:cs="Arial"/>
              </w:rPr>
              <w:t>65,5%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7.</w:t>
            </w:r>
          </w:p>
        </w:tc>
        <w:tc>
          <w:tcPr>
            <w:tcW w:w="6112" w:type="dxa"/>
          </w:tcPr>
          <w:p>
            <w:pPr>
              <w:spacing w:after="0" w:line="360" w:lineRule="auto"/>
              <w:rPr>
                <w:rFonts w:cs="Arial"/>
                <w:color w:val="000000"/>
              </w:rPr>
            </w:pPr>
            <w:r>
              <w:rPr>
                <w:rFonts w:cs="Arial"/>
                <w:color w:val="000000"/>
              </w:rPr>
              <w:t>Imbalan Ekuitas</w:t>
            </w:r>
          </w:p>
        </w:tc>
        <w:tc>
          <w:tcPr>
            <w:tcW w:w="1437" w:type="dxa"/>
          </w:tcPr>
          <w:p>
            <w:pPr>
              <w:spacing w:after="0" w:line="360" w:lineRule="auto"/>
              <w:jc w:val="center"/>
              <w:rPr>
                <w:rFonts w:cs="Arial"/>
                <w:color w:val="000000"/>
              </w:rPr>
            </w:pPr>
            <w:r>
              <w:rPr>
                <w:rFonts w:cs="Arial"/>
                <w:color w:val="000000"/>
              </w:rPr>
              <w:t>0,25%</w:t>
            </w:r>
          </w:p>
        </w:tc>
        <w:tc>
          <w:tcPr>
            <w:tcW w:w="1351" w:type="dxa"/>
          </w:tcPr>
          <w:p>
            <w:pPr>
              <w:spacing w:after="0" w:line="360" w:lineRule="auto"/>
              <w:jc w:val="center"/>
              <w:rPr>
                <w:rFonts w:cs="Arial"/>
                <w:color w:val="000000"/>
              </w:rPr>
            </w:pPr>
            <w:r>
              <w:rPr>
                <w:rFonts w:cs="Arial"/>
                <w:color w:val="000000"/>
              </w:rPr>
              <w:t>5,92%</w:t>
            </w:r>
          </w:p>
        </w:tc>
        <w:tc>
          <w:tcPr>
            <w:tcW w:w="1317" w:type="dxa"/>
          </w:tcPr>
          <w:p>
            <w:pPr>
              <w:spacing w:after="0" w:line="360" w:lineRule="auto"/>
              <w:jc w:val="center"/>
              <w:rPr>
                <w:rFonts w:cs="Arial"/>
                <w:color w:val="000000"/>
              </w:rPr>
            </w:pPr>
            <w:r>
              <w:rPr>
                <w:rFonts w:cs="Arial"/>
                <w:color w:val="000000"/>
              </w:rPr>
              <w:t>0,43%</w:t>
            </w:r>
          </w:p>
        </w:tc>
        <w:tc>
          <w:tcPr>
            <w:tcW w:w="1341" w:type="dxa"/>
          </w:tcPr>
          <w:p>
            <w:pPr>
              <w:spacing w:after="0" w:line="360" w:lineRule="auto"/>
              <w:jc w:val="center"/>
              <w:rPr>
                <w:rFonts w:cs="Arial"/>
                <w:color w:val="000000"/>
              </w:rPr>
            </w:pPr>
            <w:r>
              <w:rPr>
                <w:rFonts w:cs="Arial"/>
                <w:color w:val="000000"/>
              </w:rPr>
              <w:t>8,12%</w:t>
            </w:r>
          </w:p>
        </w:tc>
        <w:tc>
          <w:tcPr>
            <w:tcW w:w="1403" w:type="dxa"/>
          </w:tcPr>
          <w:p>
            <w:pPr>
              <w:spacing w:after="0" w:line="360" w:lineRule="auto"/>
              <w:jc w:val="center"/>
              <w:rPr>
                <w:rFonts w:cs="Arial"/>
                <w:color w:val="000000"/>
              </w:rPr>
            </w:pPr>
            <w:r>
              <w:rPr>
                <w:rFonts w:cs="Arial"/>
                <w:color w:val="000000"/>
              </w:rPr>
              <w:t>11,3%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8.</w:t>
            </w:r>
          </w:p>
        </w:tc>
        <w:tc>
          <w:tcPr>
            <w:tcW w:w="6112" w:type="dxa"/>
          </w:tcPr>
          <w:p>
            <w:pPr>
              <w:spacing w:after="0" w:line="240" w:lineRule="auto"/>
              <w:rPr>
                <w:rFonts w:cs="Arial"/>
                <w:color w:val="000000"/>
                <w:lang w:val="id-ID"/>
              </w:rPr>
            </w:pPr>
            <w:r>
              <w:rPr>
                <w:rFonts w:cs="Arial"/>
                <w:color w:val="000000"/>
              </w:rPr>
              <w:t>Rasio Pendapatan terhadap Biaya Operasional</w:t>
            </w:r>
            <w:r>
              <w:rPr>
                <w:rFonts w:cs="Arial"/>
                <w:color w:val="000000"/>
                <w:lang w:val="id-ID"/>
              </w:rPr>
              <w:t xml:space="preserve"> (</w:t>
            </w:r>
            <w:r>
              <w:rPr>
                <w:rFonts w:cs="Arial"/>
                <w:i/>
                <w:color w:val="000000"/>
                <w:lang w:val="id-ID"/>
              </w:rPr>
              <w:t>cost recovery</w:t>
            </w:r>
            <w:r>
              <w:rPr>
                <w:rFonts w:cs="Arial"/>
                <w:color w:val="000000"/>
                <w:lang w:val="id-ID"/>
              </w:rPr>
              <w:t>)</w:t>
            </w:r>
          </w:p>
        </w:tc>
        <w:tc>
          <w:tcPr>
            <w:tcW w:w="1437" w:type="dxa"/>
          </w:tcPr>
          <w:p>
            <w:pPr>
              <w:spacing w:after="0" w:line="360" w:lineRule="auto"/>
              <w:jc w:val="center"/>
              <w:rPr>
                <w:rFonts w:cs="Arial"/>
                <w:color w:val="000000"/>
                <w:highlight w:val="yellow"/>
              </w:rPr>
            </w:pPr>
            <w:r>
              <w:rPr>
                <w:rFonts w:cs="Arial"/>
                <w:color w:val="000000"/>
              </w:rPr>
              <w:t>68,92%</w:t>
            </w:r>
          </w:p>
        </w:tc>
        <w:tc>
          <w:tcPr>
            <w:tcW w:w="1351" w:type="dxa"/>
          </w:tcPr>
          <w:p>
            <w:pPr>
              <w:spacing w:after="0" w:line="360" w:lineRule="auto"/>
              <w:jc w:val="center"/>
              <w:rPr>
                <w:rFonts w:cs="Arial"/>
                <w:color w:val="000000"/>
                <w:highlight w:val="yellow"/>
              </w:rPr>
            </w:pPr>
            <w:r>
              <w:rPr>
                <w:rFonts w:cs="Arial"/>
                <w:color w:val="000000"/>
              </w:rPr>
              <w:t>69,12%</w:t>
            </w:r>
          </w:p>
        </w:tc>
        <w:tc>
          <w:tcPr>
            <w:tcW w:w="1317" w:type="dxa"/>
          </w:tcPr>
          <w:p>
            <w:pPr>
              <w:spacing w:after="0" w:line="360" w:lineRule="auto"/>
              <w:jc w:val="center"/>
              <w:rPr>
                <w:rFonts w:cs="Arial"/>
                <w:color w:val="000000"/>
              </w:rPr>
            </w:pPr>
            <w:r>
              <w:rPr>
                <w:rFonts w:cs="Arial"/>
                <w:color w:val="000000"/>
              </w:rPr>
              <w:t>74,49%</w:t>
            </w:r>
          </w:p>
        </w:tc>
        <w:tc>
          <w:tcPr>
            <w:tcW w:w="1341" w:type="dxa"/>
          </w:tcPr>
          <w:p>
            <w:pPr>
              <w:spacing w:after="0" w:line="360" w:lineRule="auto"/>
              <w:jc w:val="center"/>
              <w:rPr>
                <w:rFonts w:cs="Arial"/>
                <w:color w:val="000000"/>
              </w:rPr>
            </w:pPr>
            <w:r>
              <w:rPr>
                <w:rFonts w:cs="Arial"/>
                <w:color w:val="000000"/>
              </w:rPr>
              <w:t>86,90%</w:t>
            </w:r>
          </w:p>
        </w:tc>
        <w:tc>
          <w:tcPr>
            <w:tcW w:w="1403" w:type="dxa"/>
          </w:tcPr>
          <w:p>
            <w:pPr>
              <w:spacing w:after="0" w:line="360" w:lineRule="auto"/>
              <w:jc w:val="center"/>
              <w:rPr>
                <w:rFonts w:cs="Arial"/>
                <w:color w:val="000000"/>
              </w:rPr>
            </w:pPr>
            <w:r>
              <w:rPr>
                <w:rFonts w:cs="Arial"/>
                <w:color w:val="000000"/>
              </w:rPr>
              <w:t>86,66%</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Pr>
          <w:p>
            <w:pPr>
              <w:spacing w:after="0" w:line="360" w:lineRule="auto"/>
              <w:jc w:val="both"/>
              <w:rPr>
                <w:rFonts w:cs="Arial"/>
                <w:color w:val="000000"/>
              </w:rPr>
            </w:pPr>
            <w:r>
              <w:rPr>
                <w:rFonts w:cs="Arial"/>
                <w:color w:val="000000"/>
              </w:rPr>
              <w:t>9.</w:t>
            </w:r>
          </w:p>
        </w:tc>
        <w:tc>
          <w:tcPr>
            <w:tcW w:w="6112" w:type="dxa"/>
          </w:tcPr>
          <w:p>
            <w:pPr>
              <w:spacing w:after="0" w:line="360" w:lineRule="auto"/>
              <w:rPr>
                <w:rFonts w:cs="Arial"/>
                <w:color w:val="000000"/>
              </w:rPr>
            </w:pPr>
            <w:r>
              <w:rPr>
                <w:rFonts w:cs="Arial"/>
                <w:color w:val="000000"/>
              </w:rPr>
              <w:t>Ratio Subsidi Biaya Pasien</w:t>
            </w:r>
          </w:p>
        </w:tc>
        <w:tc>
          <w:tcPr>
            <w:tcW w:w="1437" w:type="dxa"/>
          </w:tcPr>
          <w:p>
            <w:pPr>
              <w:spacing w:after="0" w:line="360" w:lineRule="auto"/>
              <w:jc w:val="center"/>
              <w:rPr>
                <w:rFonts w:cs="Arial"/>
                <w:color w:val="000000"/>
              </w:rPr>
            </w:pPr>
            <w:r>
              <w:rPr>
                <w:rFonts w:cs="Arial"/>
                <w:color w:val="000000"/>
              </w:rPr>
              <w:t>6,45</w:t>
            </w:r>
          </w:p>
        </w:tc>
        <w:tc>
          <w:tcPr>
            <w:tcW w:w="1351" w:type="dxa"/>
          </w:tcPr>
          <w:p>
            <w:pPr>
              <w:spacing w:after="0" w:line="360" w:lineRule="auto"/>
              <w:jc w:val="center"/>
              <w:rPr>
                <w:rFonts w:cs="Arial"/>
                <w:color w:val="000000"/>
              </w:rPr>
            </w:pPr>
            <w:r>
              <w:rPr>
                <w:rFonts w:cs="Arial"/>
                <w:color w:val="000000"/>
              </w:rPr>
              <w:t>7,53</w:t>
            </w:r>
          </w:p>
        </w:tc>
        <w:tc>
          <w:tcPr>
            <w:tcW w:w="1317" w:type="dxa"/>
          </w:tcPr>
          <w:p>
            <w:pPr>
              <w:spacing w:after="0" w:line="360" w:lineRule="auto"/>
              <w:jc w:val="center"/>
              <w:rPr>
                <w:rFonts w:cs="Arial"/>
                <w:color w:val="000000"/>
              </w:rPr>
            </w:pPr>
            <w:r>
              <w:rPr>
                <w:rFonts w:cs="Arial"/>
                <w:color w:val="000000"/>
              </w:rPr>
              <w:t>7,41</w:t>
            </w:r>
          </w:p>
        </w:tc>
        <w:tc>
          <w:tcPr>
            <w:tcW w:w="1341" w:type="dxa"/>
          </w:tcPr>
          <w:p>
            <w:pPr>
              <w:spacing w:after="0" w:line="360" w:lineRule="auto"/>
              <w:jc w:val="center"/>
              <w:rPr>
                <w:rFonts w:cs="Arial"/>
                <w:color w:val="000000"/>
              </w:rPr>
            </w:pPr>
            <w:r>
              <w:rPr>
                <w:rFonts w:cs="Arial"/>
                <w:color w:val="000000"/>
              </w:rPr>
              <w:t>6,84</w:t>
            </w:r>
          </w:p>
        </w:tc>
        <w:tc>
          <w:tcPr>
            <w:tcW w:w="1403" w:type="dxa"/>
          </w:tcPr>
          <w:p>
            <w:pPr>
              <w:spacing w:after="0" w:line="360" w:lineRule="auto"/>
              <w:jc w:val="center"/>
              <w:rPr>
                <w:rFonts w:cs="Arial"/>
                <w:color w:val="000000"/>
              </w:rPr>
            </w:pPr>
            <w:r>
              <w:rPr>
                <w:rFonts w:cs="Arial"/>
                <w:color w:val="000000"/>
              </w:rPr>
              <w:t>7,86</w:t>
            </w:r>
          </w:p>
        </w:tc>
      </w:tr>
    </w:tbl>
    <w:p>
      <w:pPr>
        <w:keepNext/>
        <w:spacing w:after="0" w:line="240" w:lineRule="auto"/>
        <w:ind w:left="851" w:right="919"/>
        <w:jc w:val="both"/>
        <w:rPr>
          <w:rFonts w:cs="Arial"/>
          <w:color w:val="000000"/>
          <w:sz w:val="22"/>
        </w:rPr>
      </w:pPr>
      <w:r>
        <w:rPr>
          <w:rFonts w:cs="Arial"/>
          <w:color w:val="000000"/>
          <w:sz w:val="22"/>
        </w:rPr>
        <w:t xml:space="preserve">Keterangan : </w:t>
      </w:r>
    </w:p>
    <w:p>
      <w:pPr>
        <w:spacing w:after="0" w:line="240" w:lineRule="auto"/>
        <w:ind w:left="851" w:right="919"/>
        <w:jc w:val="both"/>
        <w:rPr>
          <w:rFonts w:cs="Arial"/>
          <w:color w:val="000000"/>
          <w:sz w:val="22"/>
        </w:rPr>
      </w:pPr>
      <w:r>
        <w:rPr>
          <w:rFonts w:cs="Arial"/>
          <w:color w:val="000000"/>
          <w:sz w:val="22"/>
        </w:rPr>
        <w:t>Dari tahun 2009 s.d 2010 perhitungan menggunakan Permenkes 156/Menkes/SK/I/2003, tahun 2011 s.d 2012 perhitungan didasarkan pada pedoman penyusunan RBA Nomor 209/MENKES/SK/I/2011, sedangkan untuk tahun 2013 menggunakan PMK 54/PB/XII/2013.</w:t>
      </w:r>
    </w:p>
    <w:p>
      <w:pPr>
        <w:spacing w:line="360" w:lineRule="auto"/>
        <w:jc w:val="both"/>
        <w:rPr>
          <w:rFonts w:cs="Arial"/>
          <w:color w:val="000000"/>
        </w:rPr>
      </w:pPr>
      <w:r>
        <w:rPr>
          <w:rFonts w:cs="Arial"/>
          <w:color w:val="000000"/>
        </w:rPr>
        <w:t xml:space="preserve">     </w:t>
      </w:r>
    </w:p>
    <w:p>
      <w:pPr>
        <w:spacing w:line="360" w:lineRule="auto"/>
        <w:jc w:val="both"/>
        <w:rPr>
          <w:rFonts w:cs="Arial"/>
          <w:color w:val="000000"/>
        </w:rPr>
      </w:pPr>
    </w:p>
    <w:p>
      <w:pPr>
        <w:spacing w:line="360" w:lineRule="auto"/>
        <w:ind w:firstLine="709"/>
        <w:jc w:val="both"/>
        <w:rPr>
          <w:rFonts w:cs="Arial"/>
          <w:color w:val="000000"/>
        </w:rPr>
      </w:pPr>
      <w:r>
        <w:rPr>
          <w:rFonts w:cs="Arial"/>
          <w:color w:val="000000"/>
        </w:rPr>
        <w:t>Analisis atas rasio keuangan dari tahun 2009 s.d 2013 adalah sebagai berikut :</w:t>
      </w:r>
    </w:p>
    <w:p>
      <w:pPr>
        <w:numPr>
          <w:ilvl w:val="0"/>
          <w:numId w:val="6"/>
        </w:numPr>
        <w:spacing w:line="360" w:lineRule="auto"/>
        <w:ind w:left="360"/>
        <w:contextualSpacing/>
        <w:jc w:val="both"/>
        <w:rPr>
          <w:rFonts w:cs="Arial"/>
          <w:color w:val="000000"/>
        </w:rPr>
      </w:pPr>
      <w:r>
        <w:rPr>
          <w:rFonts w:cs="Arial"/>
          <w:color w:val="000000"/>
        </w:rPr>
        <w:t>Imbalan Investasi</w:t>
      </w:r>
    </w:p>
    <w:p>
      <w:pPr>
        <w:spacing w:line="360" w:lineRule="auto"/>
        <w:ind w:left="360"/>
        <w:contextualSpacing/>
        <w:jc w:val="both"/>
        <w:rPr>
          <w:rFonts w:cs="Arial"/>
          <w:color w:val="000000"/>
        </w:rPr>
      </w:pPr>
      <w:r>
        <w:rPr>
          <w:rFonts w:cs="Arial"/>
          <w:color w:val="000000"/>
        </w:rPr>
        <w:t>Tingkat pengembalian investasi selama tahun 2009-2011 berkisar 5,46-7,70%, angka ini masih berada dibawah yang diharapkan berkisar antara 11-12%, sedangkan tahun 2012 dan 2013 tingkat pengembalian sudah mencapai yang diharapkan</w:t>
      </w:r>
    </w:p>
    <w:p>
      <w:pPr>
        <w:numPr>
          <w:ilvl w:val="0"/>
          <w:numId w:val="6"/>
        </w:numPr>
        <w:spacing w:line="360" w:lineRule="auto"/>
        <w:ind w:left="360"/>
        <w:contextualSpacing/>
        <w:jc w:val="both"/>
        <w:rPr>
          <w:rFonts w:cs="Arial"/>
          <w:color w:val="000000"/>
        </w:rPr>
      </w:pPr>
      <w:r>
        <w:rPr>
          <w:rFonts w:cs="Arial"/>
          <w:color w:val="000000"/>
        </w:rPr>
        <w:t>Kas Rasio</w:t>
      </w:r>
    </w:p>
    <w:p>
      <w:pPr>
        <w:spacing w:line="360" w:lineRule="auto"/>
        <w:ind w:left="360"/>
        <w:contextualSpacing/>
        <w:jc w:val="both"/>
        <w:rPr>
          <w:rFonts w:cs="Arial"/>
          <w:color w:val="000000"/>
        </w:rPr>
      </w:pPr>
      <w:r>
        <w:rPr>
          <w:rFonts w:cs="Arial"/>
          <w:color w:val="000000"/>
        </w:rPr>
        <w:t>Kas Rasio selama tahun 2009, 2011 dan 2012 antara 47,84% sampai 66,97%, masih belum dapat memenuhi kewajiban jangka pendek, sedangkan untuk tahun 2010 dan 2013 sudah dapat memenuhi kewajiban tetapi belum mencapai standard tertinggi sebesar Nilai 240&lt;RK&lt;300 dengan skor 2.</w:t>
      </w:r>
    </w:p>
    <w:p>
      <w:pPr>
        <w:numPr>
          <w:ilvl w:val="0"/>
          <w:numId w:val="6"/>
        </w:numPr>
        <w:spacing w:line="360" w:lineRule="auto"/>
        <w:ind w:left="360"/>
        <w:contextualSpacing/>
        <w:jc w:val="both"/>
        <w:rPr>
          <w:rFonts w:cs="Arial"/>
          <w:color w:val="000000"/>
        </w:rPr>
      </w:pPr>
      <w:r>
        <w:rPr>
          <w:rFonts w:cs="Arial"/>
          <w:color w:val="000000"/>
        </w:rPr>
        <w:t>Rasio Lancar (RL)</w:t>
      </w:r>
    </w:p>
    <w:p>
      <w:pPr>
        <w:spacing w:line="360" w:lineRule="auto"/>
        <w:ind w:left="360"/>
        <w:contextualSpacing/>
        <w:jc w:val="both"/>
        <w:rPr>
          <w:rFonts w:cs="Arial"/>
          <w:color w:val="000000"/>
        </w:rPr>
      </w:pPr>
      <w:r>
        <w:rPr>
          <w:rFonts w:cs="Arial"/>
          <w:color w:val="000000"/>
        </w:rPr>
        <w:t>Rasio Lancar selama tahun 2009 sampai dengan 2012 antara 124,54% sampai 347,82%, sudah dapat memenuhi kewajiban jangka pendek, namun belum mencapai standard tertinggi sebesar RL&gt;600 atau dengan skor 2,5 sedangkan untuk tahun 2013 sudah dapat memenuhi kewajiban dan sudah mencapai standard tertinggi</w:t>
      </w:r>
    </w:p>
    <w:p>
      <w:pPr>
        <w:numPr>
          <w:ilvl w:val="0"/>
          <w:numId w:val="6"/>
        </w:numPr>
        <w:spacing w:line="360" w:lineRule="auto"/>
        <w:ind w:left="360"/>
        <w:contextualSpacing/>
        <w:jc w:val="both"/>
        <w:rPr>
          <w:rFonts w:cs="Arial"/>
          <w:color w:val="000000"/>
        </w:rPr>
      </w:pPr>
      <w:r>
        <w:rPr>
          <w:rFonts w:cs="Arial"/>
          <w:color w:val="000000"/>
        </w:rPr>
        <w:t>Periode Penagihan Piutang (PPP)</w:t>
      </w:r>
    </w:p>
    <w:p>
      <w:pPr>
        <w:spacing w:line="360" w:lineRule="auto"/>
        <w:ind w:left="360"/>
        <w:contextualSpacing/>
        <w:jc w:val="both"/>
        <w:rPr>
          <w:rFonts w:cs="Arial"/>
          <w:color w:val="000000"/>
        </w:rPr>
      </w:pPr>
      <w:r>
        <w:rPr>
          <w:rFonts w:cs="Arial"/>
          <w:color w:val="000000"/>
        </w:rPr>
        <w:t>Periode penagihan piutang, selama lima tahun terakhir berkisar antara 31 sampai dengan 63 hari belum mencapai skor tertinggi yaitu PPP&lt;30 hari dengan skor 2.</w:t>
      </w:r>
    </w:p>
    <w:p>
      <w:pPr>
        <w:spacing w:line="360" w:lineRule="auto"/>
        <w:ind w:left="360"/>
        <w:contextualSpacing/>
        <w:jc w:val="both"/>
        <w:rPr>
          <w:rFonts w:cs="Arial"/>
          <w:color w:val="000000"/>
        </w:rPr>
      </w:pPr>
      <w:r>
        <w:rPr>
          <w:rFonts w:cs="Arial"/>
        </w:rPr>
        <w:t>Tidak tercapainya Periode Penagihan piutang tahun 2013  dikarenakan:</w:t>
      </w:r>
    </w:p>
    <w:p>
      <w:pPr>
        <w:numPr>
          <w:ilvl w:val="0"/>
          <w:numId w:val="7"/>
        </w:numPr>
        <w:spacing w:line="360" w:lineRule="auto"/>
        <w:ind w:left="792"/>
        <w:contextualSpacing/>
        <w:jc w:val="both"/>
        <w:rPr>
          <w:rFonts w:cs="Arial"/>
          <w:color w:val="000000"/>
        </w:rPr>
      </w:pPr>
      <w:r>
        <w:rPr>
          <w:rFonts w:cs="Arial"/>
          <w:color w:val="000000"/>
        </w:rPr>
        <w:t>Piutang yang belum dibayar pihak ketiga cukup tinggi</w:t>
      </w:r>
    </w:p>
    <w:p>
      <w:pPr>
        <w:numPr>
          <w:ilvl w:val="0"/>
          <w:numId w:val="7"/>
        </w:numPr>
        <w:spacing w:line="360" w:lineRule="auto"/>
        <w:ind w:left="792"/>
        <w:contextualSpacing/>
        <w:jc w:val="both"/>
        <w:rPr>
          <w:rFonts w:cs="Arial"/>
          <w:color w:val="000000"/>
        </w:rPr>
      </w:pPr>
      <w:r>
        <w:rPr>
          <w:rFonts w:cs="Arial"/>
          <w:color w:val="000000"/>
        </w:rPr>
        <w:t>Keterbatasan dana Jamkesda dimasing-masing Pemda Kota/Kabupaten.</w:t>
      </w:r>
    </w:p>
    <w:p>
      <w:pPr>
        <w:numPr>
          <w:ilvl w:val="0"/>
          <w:numId w:val="7"/>
        </w:numPr>
        <w:spacing w:line="360" w:lineRule="auto"/>
        <w:ind w:left="792"/>
        <w:contextualSpacing/>
        <w:jc w:val="both"/>
        <w:rPr>
          <w:rFonts w:cs="Arial"/>
          <w:color w:val="000000"/>
        </w:rPr>
      </w:pPr>
      <w:r>
        <w:rPr>
          <w:rFonts w:cs="Arial"/>
          <w:color w:val="000000"/>
        </w:rPr>
        <w:t>Droping dana Jamkesmas terlambat dan masih menjadi piutang ditahun 2014</w:t>
      </w:r>
    </w:p>
    <w:p>
      <w:pPr>
        <w:numPr>
          <w:ilvl w:val="0"/>
          <w:numId w:val="7"/>
        </w:numPr>
        <w:spacing w:line="360" w:lineRule="auto"/>
        <w:ind w:left="792"/>
        <w:contextualSpacing/>
        <w:jc w:val="both"/>
        <w:rPr>
          <w:rFonts w:cs="Arial"/>
          <w:color w:val="000000"/>
        </w:rPr>
      </w:pPr>
      <w:r>
        <w:rPr>
          <w:rFonts w:cs="Arial"/>
          <w:color w:val="000000"/>
        </w:rPr>
        <w:t>Piutang umum terealisasi hanya 20%</w:t>
      </w:r>
    </w:p>
    <w:p>
      <w:pPr>
        <w:numPr>
          <w:ilvl w:val="0"/>
          <w:numId w:val="6"/>
        </w:numPr>
        <w:spacing w:line="360" w:lineRule="auto"/>
        <w:ind w:left="360"/>
        <w:contextualSpacing/>
        <w:jc w:val="both"/>
        <w:rPr>
          <w:rFonts w:cs="Arial"/>
          <w:color w:val="000000"/>
        </w:rPr>
      </w:pPr>
      <w:r>
        <w:rPr>
          <w:rFonts w:cs="Arial"/>
          <w:color w:val="000000"/>
        </w:rPr>
        <w:t>Perputaran Persediaan</w:t>
      </w:r>
    </w:p>
    <w:p>
      <w:pPr>
        <w:spacing w:line="360" w:lineRule="auto"/>
        <w:ind w:left="360"/>
        <w:contextualSpacing/>
        <w:jc w:val="both"/>
        <w:rPr>
          <w:rFonts w:cs="Arial"/>
          <w:color w:val="000000"/>
        </w:rPr>
      </w:pPr>
      <w:r>
        <w:rPr>
          <w:rFonts w:cs="Arial"/>
          <w:color w:val="000000"/>
        </w:rPr>
        <w:t>Perputaran persediaan untuk lima tahun terakhir berkisar antara 13-27 hari dengan skor antara 1-1,5, Perputaran Persediaan ini belum mencapai standard tertinggi sebesar PP&gt;35% atau dengan skor 2.</w:t>
      </w:r>
    </w:p>
    <w:p>
      <w:pPr>
        <w:keepNext/>
        <w:numPr>
          <w:ilvl w:val="0"/>
          <w:numId w:val="6"/>
        </w:numPr>
        <w:spacing w:line="360" w:lineRule="auto"/>
        <w:ind w:left="360"/>
        <w:contextualSpacing/>
        <w:jc w:val="both"/>
        <w:rPr>
          <w:rFonts w:cs="Arial"/>
          <w:color w:val="000000"/>
        </w:rPr>
      </w:pPr>
      <w:r>
        <w:rPr>
          <w:rFonts w:cs="Arial"/>
          <w:color w:val="000000"/>
        </w:rPr>
        <w:t>Perputaran Aset Tetap (PAT)</w:t>
      </w:r>
    </w:p>
    <w:p>
      <w:pPr>
        <w:spacing w:line="360" w:lineRule="auto"/>
        <w:ind w:left="360"/>
        <w:contextualSpacing/>
        <w:jc w:val="both"/>
        <w:rPr>
          <w:rFonts w:cs="Arial"/>
          <w:color w:val="000000"/>
        </w:rPr>
      </w:pPr>
      <w:r>
        <w:rPr>
          <w:rFonts w:cs="Arial"/>
          <w:color w:val="000000"/>
        </w:rPr>
        <w:t>Perputaran Asep tetap dari tahun ke tahun target sudah melebihi standard yang ditetapkan dengan PAT&gt;20 (skor 2).</w:t>
      </w:r>
    </w:p>
    <w:p>
      <w:pPr>
        <w:spacing w:line="360" w:lineRule="auto"/>
        <w:ind w:left="360"/>
        <w:contextualSpacing/>
        <w:jc w:val="both"/>
        <w:rPr>
          <w:rFonts w:cs="Arial"/>
          <w:color w:val="000000"/>
        </w:rPr>
      </w:pPr>
      <w:r>
        <w:rPr>
          <w:rFonts w:cs="Arial"/>
          <w:color w:val="000000"/>
        </w:rPr>
        <w:t>Pada tahun 2009 ke tahun 2010 terjadi penurunan nilai yang signifikan, dikarenakan adanya penilaian kembali aset tetap tanah yang disesuaikan dengan Nilai Jual Objek Pajak (NJOP).</w:t>
      </w:r>
    </w:p>
    <w:p>
      <w:pPr>
        <w:numPr>
          <w:ilvl w:val="0"/>
          <w:numId w:val="6"/>
        </w:numPr>
        <w:spacing w:line="360" w:lineRule="auto"/>
        <w:ind w:left="360"/>
        <w:contextualSpacing/>
        <w:jc w:val="both"/>
        <w:rPr>
          <w:rFonts w:cs="Arial"/>
          <w:color w:val="000000"/>
        </w:rPr>
      </w:pPr>
      <w:r>
        <w:rPr>
          <w:rFonts w:cs="Arial"/>
        </w:rPr>
        <w:t>Imbalan Equitas</w:t>
      </w:r>
    </w:p>
    <w:p>
      <w:pPr>
        <w:spacing w:line="360" w:lineRule="auto"/>
        <w:ind w:left="360"/>
        <w:contextualSpacing/>
        <w:jc w:val="both"/>
        <w:rPr>
          <w:rFonts w:cs="Arial"/>
          <w:color w:val="000000"/>
        </w:rPr>
      </w:pPr>
      <w:r>
        <w:rPr>
          <w:rFonts w:cs="Arial"/>
          <w:color w:val="000000"/>
        </w:rPr>
        <w:t>Imbalan Equitas selama tahun 2009 sampai dengan 2011 antara 0,25%, sampai 5,92 belum mencapai nilai tertinggi ROE&gt;8 (Skor 2).  Untuk tahun 2012 dan 2013 hasil perhitungan sebesar 8,12% dan 11,3%. sudah mencapai target.</w:t>
      </w:r>
    </w:p>
    <w:p>
      <w:pPr>
        <w:numPr>
          <w:ilvl w:val="0"/>
          <w:numId w:val="6"/>
        </w:numPr>
        <w:spacing w:line="360" w:lineRule="auto"/>
        <w:ind w:left="360"/>
        <w:contextualSpacing/>
        <w:jc w:val="both"/>
        <w:rPr>
          <w:rFonts w:cs="Arial"/>
          <w:color w:val="000000"/>
        </w:rPr>
      </w:pPr>
      <w:r>
        <w:rPr>
          <w:rFonts w:cs="Arial"/>
          <w:color w:val="000000"/>
        </w:rPr>
        <w:t>Rasio Pendapatan terhadap Biaya Operasional (PB)</w:t>
      </w:r>
    </w:p>
    <w:p>
      <w:pPr>
        <w:spacing w:line="360" w:lineRule="auto"/>
        <w:ind w:left="360"/>
        <w:contextualSpacing/>
        <w:jc w:val="both"/>
        <w:rPr>
          <w:rFonts w:cs="Arial"/>
          <w:color w:val="000000"/>
        </w:rPr>
      </w:pPr>
      <w:r>
        <w:rPr>
          <w:rFonts w:cs="Arial"/>
          <w:color w:val="000000"/>
        </w:rPr>
        <w:t>Rasio dari tahun 2009 sampai dengan 2013 menunjukan nilai yang semakin naik sudah memenuhi standard PB&gt;65% (Skor 2,5)</w:t>
      </w:r>
    </w:p>
    <w:p>
      <w:pPr>
        <w:numPr>
          <w:ilvl w:val="0"/>
          <w:numId w:val="6"/>
        </w:numPr>
        <w:spacing w:line="360" w:lineRule="auto"/>
        <w:ind w:left="360"/>
        <w:contextualSpacing/>
        <w:jc w:val="both"/>
        <w:rPr>
          <w:rFonts w:cs="Arial"/>
          <w:color w:val="000000"/>
        </w:rPr>
      </w:pPr>
      <w:r>
        <w:rPr>
          <w:rFonts w:cs="Arial"/>
        </w:rPr>
        <w:t>Rasio Subsidi Biaya Pasien (SBP)</w:t>
      </w:r>
    </w:p>
    <w:p>
      <w:pPr>
        <w:spacing w:line="360" w:lineRule="auto"/>
        <w:ind w:left="360"/>
        <w:jc w:val="both"/>
        <w:rPr>
          <w:rFonts w:cs="Arial"/>
          <w:color w:val="000000"/>
        </w:rPr>
      </w:pPr>
      <w:r>
        <w:rPr>
          <w:rFonts w:cs="Arial"/>
        </w:rPr>
        <w:t>Rasio SBP dari tahun 2009 sampai dengan 2013 berkisar antara 6,45%-7,53% dalam penilaian masih dibawah standard tertinggi, yaitu 10%&lt;SBP</w:t>
      </w:r>
      <w:r>
        <w:rPr>
          <w:rFonts w:cs="Arial"/>
          <w:u w:val="single"/>
        </w:rPr>
        <w:t>&lt;</w:t>
      </w:r>
      <w:r>
        <w:rPr>
          <w:rFonts w:cs="Arial"/>
        </w:rPr>
        <w:t xml:space="preserve">15% dengan skor 2. </w:t>
      </w:r>
    </w:p>
    <w:p>
      <w:pPr>
        <w:spacing w:line="360" w:lineRule="auto"/>
        <w:ind w:firstLine="709"/>
        <w:jc w:val="both"/>
      </w:pPr>
      <w:r>
        <w:rPr>
          <w:rFonts w:cs="Arial"/>
          <w:color w:val="000000"/>
        </w:rPr>
        <w:t>Dari nilai perhitungan diatas dapat di rekapitulasi skor kinerja keuangan dapat dilihat pada tabel berikut ini:</w:t>
      </w:r>
    </w:p>
    <w:p>
      <w:pPr>
        <w:pStyle w:val="9"/>
        <w:keepNext/>
        <w:sectPr>
          <w:type w:val="continuous"/>
          <w:pgSz w:w="16839" w:h="11907" w:orient="landscape"/>
          <w:pgMar w:top="1440" w:right="1440" w:bottom="1440" w:left="1440" w:header="720" w:footer="60" w:gutter="0"/>
          <w:cols w:space="720" w:num="1"/>
          <w:docGrid w:linePitch="360" w:charSpace="0"/>
        </w:sectPr>
      </w:pPr>
    </w:p>
    <w:p>
      <w:pPr>
        <w:pStyle w:val="9"/>
        <w:keepNext/>
        <w:pageBreakBefore/>
        <w:rPr>
          <w:lang w:val="id-ID"/>
        </w:rPr>
      </w:pPr>
      <w:bookmarkStart w:id="19" w:name="_Toc430523088"/>
      <w:r>
        <w:t xml:space="preserve">Tabel 2. </w:t>
      </w:r>
      <w:r>
        <w:fldChar w:fldCharType="begin"/>
      </w:r>
      <w:r>
        <w:instrText xml:space="preserve"> SEQ Tabel_2. \* ARABIC </w:instrText>
      </w:r>
      <w:r>
        <w:fldChar w:fldCharType="separate"/>
      </w:r>
      <w:r>
        <w:t>6</w:t>
      </w:r>
      <w:r>
        <w:fldChar w:fldCharType="end"/>
      </w:r>
      <w:r>
        <w:t xml:space="preserve"> Skor Kinerja Keuangan Tahun 2009-2013</w:t>
      </w:r>
      <w:bookmarkEnd w:id="19"/>
    </w:p>
    <w:p>
      <w:pPr>
        <w:spacing w:after="0" w:line="360" w:lineRule="auto"/>
        <w:jc w:val="center"/>
        <w:rPr>
          <w:rFonts w:cs="Arial"/>
          <w:b/>
          <w:color w:val="000000"/>
        </w:rPr>
        <w:sectPr>
          <w:type w:val="continuous"/>
          <w:pgSz w:w="16839" w:h="11907" w:orient="landscape"/>
          <w:pgMar w:top="1440" w:right="1440" w:bottom="1440" w:left="1440" w:header="720" w:footer="60" w:gutter="0"/>
          <w:cols w:space="720" w:num="1"/>
          <w:docGrid w:linePitch="360" w:charSpace="0"/>
        </w:sectPr>
      </w:pPr>
    </w:p>
    <w:tbl>
      <w:tblPr>
        <w:tblStyle w:val="47"/>
        <w:tblW w:w="6609"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
      <w:tblGrid>
        <w:gridCol w:w="504"/>
        <w:gridCol w:w="1243"/>
        <w:gridCol w:w="1635"/>
        <w:gridCol w:w="1589"/>
        <w:gridCol w:w="1638"/>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trHeight w:val="463" w:hRule="atLeast"/>
          <w:jc w:val="center"/>
        </w:trPr>
        <w:tc>
          <w:tcPr>
            <w:tcW w:w="504" w:type="dxa"/>
            <w:tcBorders>
              <w:top w:val="single" w:color="259073" w:themeColor="accent2" w:sz="4" w:space="0"/>
              <w:bottom w:val="single" w:color="259073" w:themeColor="accent2" w:sz="4" w:space="0"/>
            </w:tcBorders>
            <w:shd w:val="clear" w:color="auto" w:fill="auto"/>
          </w:tcPr>
          <w:p>
            <w:pPr>
              <w:spacing w:after="0" w:line="360" w:lineRule="auto"/>
              <w:jc w:val="center"/>
              <w:rPr>
                <w:rFonts w:cs="Arial"/>
                <w:b/>
                <w:color w:val="000000"/>
              </w:rPr>
            </w:pPr>
            <w:r>
              <w:rPr>
                <w:rFonts w:cs="Arial"/>
                <w:b/>
                <w:color w:val="000000"/>
              </w:rPr>
              <w:t>No</w:t>
            </w:r>
          </w:p>
        </w:tc>
        <w:tc>
          <w:tcPr>
            <w:tcW w:w="1243" w:type="dxa"/>
            <w:tcBorders>
              <w:top w:val="single" w:color="259073" w:themeColor="accent2" w:sz="4" w:space="0"/>
              <w:bottom w:val="single" w:color="259073" w:themeColor="accent2" w:sz="4" w:space="0"/>
            </w:tcBorders>
            <w:shd w:val="clear" w:color="auto" w:fill="auto"/>
          </w:tcPr>
          <w:p>
            <w:pPr>
              <w:spacing w:after="0" w:line="360" w:lineRule="auto"/>
              <w:jc w:val="center"/>
              <w:rPr>
                <w:rFonts w:cs="Arial"/>
                <w:b/>
                <w:color w:val="000000"/>
              </w:rPr>
            </w:pPr>
            <w:r>
              <w:rPr>
                <w:rFonts w:cs="Arial"/>
                <w:b/>
                <w:color w:val="000000"/>
              </w:rPr>
              <w:t>Tahun</w:t>
            </w:r>
          </w:p>
        </w:tc>
        <w:tc>
          <w:tcPr>
            <w:tcW w:w="1635" w:type="dxa"/>
            <w:tcBorders>
              <w:top w:val="single" w:color="259073" w:themeColor="accent2" w:sz="4" w:space="0"/>
              <w:bottom w:val="single" w:color="259073" w:themeColor="accent2" w:sz="4" w:space="0"/>
            </w:tcBorders>
            <w:shd w:val="clear" w:color="auto" w:fill="auto"/>
          </w:tcPr>
          <w:p>
            <w:pPr>
              <w:spacing w:after="0" w:line="360" w:lineRule="auto"/>
              <w:jc w:val="center"/>
              <w:rPr>
                <w:rFonts w:cs="Arial"/>
                <w:b/>
                <w:color w:val="000000"/>
              </w:rPr>
            </w:pPr>
            <w:r>
              <w:rPr>
                <w:rFonts w:cs="Arial"/>
                <w:b/>
                <w:color w:val="000000"/>
              </w:rPr>
              <w:t>Skor tertinggi</w:t>
            </w:r>
          </w:p>
        </w:tc>
        <w:tc>
          <w:tcPr>
            <w:tcW w:w="1589" w:type="dxa"/>
            <w:tcBorders>
              <w:top w:val="single" w:color="259073" w:themeColor="accent2" w:sz="4" w:space="0"/>
              <w:bottom w:val="single" w:color="259073" w:themeColor="accent2" w:sz="4" w:space="0"/>
            </w:tcBorders>
            <w:shd w:val="clear" w:color="auto" w:fill="auto"/>
          </w:tcPr>
          <w:p>
            <w:pPr>
              <w:spacing w:after="0" w:line="360" w:lineRule="auto"/>
              <w:jc w:val="center"/>
              <w:rPr>
                <w:rFonts w:cs="Arial"/>
                <w:b/>
                <w:color w:val="000000"/>
              </w:rPr>
            </w:pPr>
            <w:r>
              <w:rPr>
                <w:rFonts w:cs="Arial"/>
                <w:b/>
                <w:color w:val="000000"/>
              </w:rPr>
              <w:t>Target</w:t>
            </w:r>
          </w:p>
        </w:tc>
        <w:tc>
          <w:tcPr>
            <w:tcW w:w="1638" w:type="dxa"/>
            <w:tcBorders>
              <w:top w:val="single" w:color="259073" w:themeColor="accent2" w:sz="4" w:space="0"/>
              <w:bottom w:val="single" w:color="259073" w:themeColor="accent2" w:sz="4" w:space="0"/>
            </w:tcBorders>
            <w:shd w:val="clear" w:color="auto" w:fill="auto"/>
          </w:tcPr>
          <w:p>
            <w:pPr>
              <w:spacing w:after="0" w:line="360" w:lineRule="auto"/>
              <w:jc w:val="center"/>
              <w:rPr>
                <w:rFonts w:cs="Arial"/>
                <w:b/>
                <w:color w:val="000000"/>
              </w:rPr>
            </w:pPr>
            <w:r>
              <w:rPr>
                <w:rFonts w:cs="Arial"/>
                <w:b/>
                <w:color w:val="000000"/>
              </w:rPr>
              <w:t>Realisasi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tcBorders>
              <w:top w:val="single" w:color="259073" w:themeColor="accent2" w:sz="4" w:space="0"/>
            </w:tcBorders>
            <w:shd w:val="clear" w:color="auto" w:fill="ECCF74"/>
          </w:tcPr>
          <w:p>
            <w:pPr>
              <w:spacing w:after="0" w:line="360" w:lineRule="auto"/>
              <w:jc w:val="both"/>
              <w:rPr>
                <w:rFonts w:cs="Arial"/>
                <w:color w:val="000000"/>
              </w:rPr>
            </w:pPr>
            <w:r>
              <w:rPr>
                <w:rFonts w:cs="Arial"/>
                <w:color w:val="000000"/>
              </w:rPr>
              <w:t>1.</w:t>
            </w:r>
          </w:p>
        </w:tc>
        <w:tc>
          <w:tcPr>
            <w:tcW w:w="1243" w:type="dxa"/>
            <w:tcBorders>
              <w:top w:val="single" w:color="259073" w:themeColor="accent2" w:sz="4" w:space="0"/>
            </w:tcBorders>
            <w:shd w:val="clear" w:color="auto" w:fill="ECCF74"/>
          </w:tcPr>
          <w:p>
            <w:pPr>
              <w:spacing w:after="0" w:line="360" w:lineRule="auto"/>
              <w:jc w:val="center"/>
              <w:rPr>
                <w:rFonts w:cs="Arial"/>
                <w:color w:val="000000"/>
              </w:rPr>
            </w:pPr>
            <w:r>
              <w:rPr>
                <w:rFonts w:cs="Arial"/>
                <w:color w:val="000000"/>
              </w:rPr>
              <w:t>2009</w:t>
            </w:r>
          </w:p>
        </w:tc>
        <w:tc>
          <w:tcPr>
            <w:tcW w:w="1635" w:type="dxa"/>
            <w:tcBorders>
              <w:top w:val="single" w:color="259073" w:themeColor="accent2" w:sz="4" w:space="0"/>
            </w:tcBorders>
            <w:shd w:val="clear" w:color="auto" w:fill="ECCF74"/>
          </w:tcPr>
          <w:p>
            <w:pPr>
              <w:spacing w:after="0" w:line="360" w:lineRule="auto"/>
              <w:jc w:val="center"/>
              <w:rPr>
                <w:rFonts w:cs="Arial"/>
                <w:color w:val="000000"/>
              </w:rPr>
            </w:pPr>
            <w:r>
              <w:rPr>
                <w:rFonts w:cs="Arial"/>
                <w:color w:val="000000"/>
              </w:rPr>
              <w:t>20</w:t>
            </w:r>
          </w:p>
        </w:tc>
        <w:tc>
          <w:tcPr>
            <w:tcW w:w="1589" w:type="dxa"/>
            <w:tcBorders>
              <w:top w:val="single" w:color="259073" w:themeColor="accent2" w:sz="4" w:space="0"/>
            </w:tcBorders>
            <w:shd w:val="clear" w:color="auto" w:fill="ECCF74"/>
          </w:tcPr>
          <w:p>
            <w:pPr>
              <w:spacing w:after="0" w:line="360" w:lineRule="auto"/>
              <w:jc w:val="center"/>
              <w:rPr>
                <w:rFonts w:cs="Arial"/>
                <w:color w:val="000000"/>
              </w:rPr>
            </w:pPr>
            <w:r>
              <w:rPr>
                <w:rFonts w:cs="Arial"/>
                <w:color w:val="000000"/>
              </w:rPr>
              <w:t>15</w:t>
            </w:r>
          </w:p>
        </w:tc>
        <w:tc>
          <w:tcPr>
            <w:tcW w:w="1638" w:type="dxa"/>
            <w:tcBorders>
              <w:top w:val="single" w:color="259073" w:themeColor="accent2" w:sz="4" w:space="0"/>
            </w:tcBorders>
            <w:shd w:val="clear" w:color="auto" w:fill="ECCF74"/>
          </w:tcPr>
          <w:p>
            <w:pPr>
              <w:spacing w:after="0" w:line="360" w:lineRule="auto"/>
              <w:jc w:val="center"/>
              <w:rPr>
                <w:rFonts w:cs="Arial"/>
                <w:color w:val="000000"/>
              </w:rPr>
            </w:pPr>
            <w:r>
              <w:rPr>
                <w:rFonts w:cs="Arial"/>
                <w:color w:val="000000"/>
              </w:rPr>
              <w:t>16,5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shd w:val="clear" w:color="auto" w:fill="ECCF74"/>
          </w:tcPr>
          <w:p>
            <w:pPr>
              <w:spacing w:after="0" w:line="360" w:lineRule="auto"/>
              <w:jc w:val="both"/>
              <w:rPr>
                <w:rFonts w:cs="Arial"/>
                <w:color w:val="000000"/>
              </w:rPr>
            </w:pPr>
            <w:r>
              <w:rPr>
                <w:rFonts w:cs="Arial"/>
                <w:color w:val="000000"/>
              </w:rPr>
              <w:t>2.</w:t>
            </w:r>
          </w:p>
        </w:tc>
        <w:tc>
          <w:tcPr>
            <w:tcW w:w="1243" w:type="dxa"/>
            <w:shd w:val="clear" w:color="auto" w:fill="ECCF74"/>
          </w:tcPr>
          <w:p>
            <w:pPr>
              <w:spacing w:after="0" w:line="360" w:lineRule="auto"/>
              <w:jc w:val="center"/>
              <w:rPr>
                <w:rFonts w:cs="Arial"/>
                <w:color w:val="000000"/>
              </w:rPr>
            </w:pPr>
            <w:r>
              <w:rPr>
                <w:rFonts w:cs="Arial"/>
                <w:color w:val="000000"/>
              </w:rPr>
              <w:t>2010</w:t>
            </w:r>
          </w:p>
        </w:tc>
        <w:tc>
          <w:tcPr>
            <w:tcW w:w="1635" w:type="dxa"/>
            <w:shd w:val="clear" w:color="auto" w:fill="ECCF74"/>
          </w:tcPr>
          <w:p>
            <w:pPr>
              <w:spacing w:after="0" w:line="360" w:lineRule="auto"/>
              <w:jc w:val="center"/>
              <w:rPr>
                <w:rFonts w:cs="Arial"/>
                <w:color w:val="000000"/>
              </w:rPr>
            </w:pPr>
            <w:r>
              <w:rPr>
                <w:rFonts w:cs="Arial"/>
                <w:color w:val="000000"/>
              </w:rPr>
              <w:t>20</w:t>
            </w:r>
          </w:p>
        </w:tc>
        <w:tc>
          <w:tcPr>
            <w:tcW w:w="1589" w:type="dxa"/>
            <w:shd w:val="clear" w:color="auto" w:fill="ECCF74"/>
          </w:tcPr>
          <w:p>
            <w:pPr>
              <w:spacing w:after="0" w:line="360" w:lineRule="auto"/>
              <w:jc w:val="center"/>
              <w:rPr>
                <w:rFonts w:cs="Arial"/>
                <w:color w:val="000000"/>
              </w:rPr>
            </w:pPr>
            <w:r>
              <w:rPr>
                <w:rFonts w:cs="Arial"/>
                <w:color w:val="000000"/>
              </w:rPr>
              <w:t>15</w:t>
            </w:r>
          </w:p>
        </w:tc>
        <w:tc>
          <w:tcPr>
            <w:tcW w:w="1638" w:type="dxa"/>
            <w:shd w:val="clear" w:color="auto" w:fill="ECCF74"/>
          </w:tcPr>
          <w:p>
            <w:pPr>
              <w:spacing w:after="0" w:line="360" w:lineRule="auto"/>
              <w:jc w:val="center"/>
              <w:rPr>
                <w:rFonts w:cs="Arial"/>
                <w:color w:val="000000"/>
              </w:rPr>
            </w:pPr>
            <w:r>
              <w:rPr>
                <w:rFonts w:cs="Arial"/>
                <w:color w:val="000000"/>
              </w:rPr>
              <w:t>17,7</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shd w:val="clear" w:color="auto" w:fill="ECCF74"/>
          </w:tcPr>
          <w:p>
            <w:pPr>
              <w:spacing w:after="0" w:line="360" w:lineRule="auto"/>
              <w:jc w:val="both"/>
              <w:rPr>
                <w:rFonts w:cs="Arial"/>
                <w:color w:val="000000"/>
              </w:rPr>
            </w:pPr>
            <w:r>
              <w:rPr>
                <w:rFonts w:cs="Arial"/>
                <w:color w:val="000000"/>
              </w:rPr>
              <w:t>3.</w:t>
            </w:r>
          </w:p>
        </w:tc>
        <w:tc>
          <w:tcPr>
            <w:tcW w:w="1243" w:type="dxa"/>
            <w:shd w:val="clear" w:color="auto" w:fill="ECCF74"/>
          </w:tcPr>
          <w:p>
            <w:pPr>
              <w:spacing w:after="0" w:line="360" w:lineRule="auto"/>
              <w:jc w:val="center"/>
              <w:rPr>
                <w:rFonts w:cs="Arial"/>
                <w:color w:val="000000"/>
              </w:rPr>
            </w:pPr>
            <w:r>
              <w:rPr>
                <w:rFonts w:cs="Arial"/>
                <w:color w:val="000000"/>
              </w:rPr>
              <w:t>2011</w:t>
            </w:r>
          </w:p>
        </w:tc>
        <w:tc>
          <w:tcPr>
            <w:tcW w:w="1635" w:type="dxa"/>
            <w:shd w:val="clear" w:color="auto" w:fill="ECCF74"/>
          </w:tcPr>
          <w:p>
            <w:pPr>
              <w:spacing w:after="0" w:line="360" w:lineRule="auto"/>
              <w:jc w:val="center"/>
              <w:rPr>
                <w:rFonts w:cs="Arial"/>
                <w:color w:val="000000"/>
              </w:rPr>
            </w:pPr>
            <w:r>
              <w:rPr>
                <w:rFonts w:cs="Arial"/>
                <w:color w:val="000000"/>
              </w:rPr>
              <w:t>20</w:t>
            </w:r>
          </w:p>
        </w:tc>
        <w:tc>
          <w:tcPr>
            <w:tcW w:w="1589" w:type="dxa"/>
            <w:shd w:val="clear" w:color="auto" w:fill="ECCF74"/>
          </w:tcPr>
          <w:p>
            <w:pPr>
              <w:spacing w:after="0" w:line="360" w:lineRule="auto"/>
              <w:jc w:val="center"/>
              <w:rPr>
                <w:rFonts w:cs="Arial"/>
                <w:color w:val="000000"/>
              </w:rPr>
            </w:pPr>
            <w:r>
              <w:rPr>
                <w:rFonts w:cs="Arial"/>
                <w:color w:val="000000"/>
              </w:rPr>
              <w:t>15,5</w:t>
            </w:r>
          </w:p>
        </w:tc>
        <w:tc>
          <w:tcPr>
            <w:tcW w:w="1638" w:type="dxa"/>
            <w:shd w:val="clear" w:color="auto" w:fill="ECCF74"/>
          </w:tcPr>
          <w:p>
            <w:pPr>
              <w:spacing w:after="0" w:line="360" w:lineRule="auto"/>
              <w:jc w:val="center"/>
              <w:rPr>
                <w:rFonts w:cs="Arial"/>
                <w:color w:val="000000"/>
              </w:rPr>
            </w:pPr>
            <w:r>
              <w:rPr>
                <w:rFonts w:cs="Arial"/>
                <w:color w:val="000000"/>
              </w:rPr>
              <w:t>17,2</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shd w:val="clear" w:color="auto" w:fill="ECCF74"/>
          </w:tcPr>
          <w:p>
            <w:pPr>
              <w:spacing w:after="0" w:line="360" w:lineRule="auto"/>
              <w:jc w:val="both"/>
              <w:rPr>
                <w:rFonts w:cs="Arial"/>
                <w:color w:val="000000"/>
              </w:rPr>
            </w:pPr>
            <w:r>
              <w:rPr>
                <w:rFonts w:cs="Arial"/>
                <w:color w:val="000000"/>
              </w:rPr>
              <w:t>4.</w:t>
            </w:r>
          </w:p>
        </w:tc>
        <w:tc>
          <w:tcPr>
            <w:tcW w:w="1243" w:type="dxa"/>
            <w:shd w:val="clear" w:color="auto" w:fill="ECCF74"/>
          </w:tcPr>
          <w:p>
            <w:pPr>
              <w:spacing w:after="0" w:line="360" w:lineRule="auto"/>
              <w:jc w:val="center"/>
              <w:rPr>
                <w:rFonts w:cs="Arial"/>
                <w:color w:val="000000"/>
              </w:rPr>
            </w:pPr>
            <w:r>
              <w:rPr>
                <w:rFonts w:cs="Arial"/>
                <w:color w:val="000000"/>
              </w:rPr>
              <w:t>2012</w:t>
            </w:r>
          </w:p>
        </w:tc>
        <w:tc>
          <w:tcPr>
            <w:tcW w:w="1635" w:type="dxa"/>
            <w:shd w:val="clear" w:color="auto" w:fill="ECCF74"/>
          </w:tcPr>
          <w:p>
            <w:pPr>
              <w:spacing w:after="0" w:line="360" w:lineRule="auto"/>
              <w:jc w:val="center"/>
              <w:rPr>
                <w:rFonts w:cs="Arial"/>
                <w:color w:val="000000"/>
              </w:rPr>
            </w:pPr>
            <w:r>
              <w:rPr>
                <w:rFonts w:cs="Arial"/>
                <w:color w:val="000000"/>
              </w:rPr>
              <w:t>20</w:t>
            </w:r>
          </w:p>
        </w:tc>
        <w:tc>
          <w:tcPr>
            <w:tcW w:w="1589" w:type="dxa"/>
            <w:shd w:val="clear" w:color="auto" w:fill="ECCF74"/>
          </w:tcPr>
          <w:p>
            <w:pPr>
              <w:spacing w:after="0" w:line="360" w:lineRule="auto"/>
              <w:jc w:val="center"/>
              <w:rPr>
                <w:rFonts w:cs="Arial"/>
                <w:color w:val="000000"/>
              </w:rPr>
            </w:pPr>
            <w:r>
              <w:rPr>
                <w:rFonts w:cs="Arial"/>
                <w:color w:val="000000"/>
              </w:rPr>
              <w:t>16</w:t>
            </w:r>
          </w:p>
        </w:tc>
        <w:tc>
          <w:tcPr>
            <w:tcW w:w="1638" w:type="dxa"/>
            <w:shd w:val="clear" w:color="auto" w:fill="ECCF74"/>
          </w:tcPr>
          <w:p>
            <w:pPr>
              <w:spacing w:after="0" w:line="360" w:lineRule="auto"/>
              <w:jc w:val="center"/>
              <w:rPr>
                <w:rFonts w:cs="Arial"/>
                <w:color w:val="000000"/>
              </w:rPr>
            </w:pPr>
            <w:r>
              <w:rPr>
                <w:rFonts w:cs="Arial"/>
                <w:color w:val="000000"/>
              </w:rPr>
              <w:t>18,4</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none" w:color="auto" w:sz="0" w:space="0"/>
            <w:insideV w:val="single" w:color="259073" w:themeColor="accent2" w:sz="4" w:space="0"/>
          </w:tblBorders>
          <w:tblLayout w:type="fixed"/>
          <w:tblCellMar>
            <w:top w:w="0" w:type="dxa"/>
            <w:left w:w="108" w:type="dxa"/>
            <w:bottom w:w="0" w:type="dxa"/>
            <w:right w:w="108" w:type="dxa"/>
          </w:tblCellMar>
        </w:tblPrEx>
        <w:trPr>
          <w:jc w:val="center"/>
        </w:trPr>
        <w:tc>
          <w:tcPr>
            <w:tcW w:w="504" w:type="dxa"/>
            <w:shd w:val="clear" w:color="auto" w:fill="ECCF74"/>
          </w:tcPr>
          <w:p>
            <w:pPr>
              <w:spacing w:after="0" w:line="360" w:lineRule="auto"/>
              <w:jc w:val="both"/>
              <w:rPr>
                <w:rFonts w:cs="Arial"/>
                <w:color w:val="000000"/>
              </w:rPr>
            </w:pPr>
            <w:r>
              <w:rPr>
                <w:rFonts w:cs="Arial"/>
                <w:color w:val="000000"/>
              </w:rPr>
              <w:t>5.</w:t>
            </w:r>
          </w:p>
        </w:tc>
        <w:tc>
          <w:tcPr>
            <w:tcW w:w="1243" w:type="dxa"/>
            <w:shd w:val="clear" w:color="auto" w:fill="ECCF74"/>
          </w:tcPr>
          <w:p>
            <w:pPr>
              <w:spacing w:after="0" w:line="360" w:lineRule="auto"/>
              <w:jc w:val="center"/>
              <w:rPr>
                <w:rFonts w:cs="Arial"/>
                <w:color w:val="000000"/>
              </w:rPr>
            </w:pPr>
            <w:r>
              <w:rPr>
                <w:rFonts w:cs="Arial"/>
                <w:color w:val="000000"/>
              </w:rPr>
              <w:t>2013</w:t>
            </w:r>
          </w:p>
        </w:tc>
        <w:tc>
          <w:tcPr>
            <w:tcW w:w="1635" w:type="dxa"/>
            <w:shd w:val="clear" w:color="auto" w:fill="ECCF74"/>
          </w:tcPr>
          <w:p>
            <w:pPr>
              <w:spacing w:after="0" w:line="360" w:lineRule="auto"/>
              <w:jc w:val="center"/>
              <w:rPr>
                <w:rFonts w:cs="Arial"/>
                <w:color w:val="000000"/>
              </w:rPr>
            </w:pPr>
            <w:r>
              <w:rPr>
                <w:rFonts w:cs="Arial"/>
                <w:color w:val="000000"/>
              </w:rPr>
              <w:t>30</w:t>
            </w:r>
          </w:p>
        </w:tc>
        <w:tc>
          <w:tcPr>
            <w:tcW w:w="1589" w:type="dxa"/>
            <w:shd w:val="clear" w:color="auto" w:fill="ECCF74"/>
          </w:tcPr>
          <w:p>
            <w:pPr>
              <w:spacing w:after="0" w:line="360" w:lineRule="auto"/>
              <w:jc w:val="center"/>
              <w:rPr>
                <w:rFonts w:cs="Arial"/>
                <w:color w:val="000000"/>
              </w:rPr>
            </w:pPr>
            <w:r>
              <w:rPr>
                <w:rFonts w:cs="Arial"/>
                <w:color w:val="000000"/>
              </w:rPr>
              <w:t>24,75</w:t>
            </w:r>
          </w:p>
        </w:tc>
        <w:tc>
          <w:tcPr>
            <w:tcW w:w="1638" w:type="dxa"/>
            <w:shd w:val="clear" w:color="auto" w:fill="ECCF74"/>
          </w:tcPr>
          <w:p>
            <w:pPr>
              <w:spacing w:after="0" w:line="360" w:lineRule="auto"/>
              <w:jc w:val="center"/>
              <w:rPr>
                <w:rFonts w:cs="Arial"/>
                <w:color w:val="000000"/>
              </w:rPr>
            </w:pPr>
            <w:r>
              <w:rPr>
                <w:rFonts w:cs="Arial"/>
                <w:color w:val="000000"/>
              </w:rPr>
              <w:t>26,25</w:t>
            </w:r>
          </w:p>
        </w:tc>
      </w:tr>
    </w:tbl>
    <w:p>
      <w:pPr>
        <w:keepNext/>
        <w:spacing w:after="0" w:line="360" w:lineRule="auto"/>
        <w:ind w:left="720"/>
        <w:contextualSpacing/>
        <w:jc w:val="both"/>
        <w:rPr>
          <w:rFonts w:cs="Arial"/>
        </w:rPr>
      </w:pPr>
      <w:r>
        <w:rPr>
          <w:rFonts w:cs="Arial"/>
        </w:rPr>
        <w:t>Data SIMAK-BMN RSHS pada tanggal 31 Mei 2014 :</w:t>
      </w:r>
    </w:p>
    <w:p>
      <w:pPr>
        <w:pStyle w:val="28"/>
        <w:numPr>
          <w:ilvl w:val="0"/>
          <w:numId w:val="8"/>
        </w:numPr>
        <w:spacing w:line="360" w:lineRule="auto"/>
        <w:jc w:val="both"/>
        <w:rPr>
          <w:rFonts w:cs="Arial"/>
        </w:rPr>
      </w:pPr>
      <w:r>
        <w:rPr>
          <w:rFonts w:cs="Arial"/>
        </w:rPr>
        <w:t>Kondisi Baik</w:t>
      </w:r>
      <w:r>
        <w:rPr>
          <w:rFonts w:cs="Arial"/>
        </w:rPr>
        <w:tab/>
      </w:r>
      <w:r>
        <w:rPr>
          <w:rFonts w:cs="Arial"/>
        </w:rPr>
        <w:tab/>
      </w:r>
      <w:r>
        <w:rPr>
          <w:rFonts w:cs="Arial"/>
        </w:rPr>
        <w:t>:   860.675.045.254,-</w:t>
      </w:r>
    </w:p>
    <w:p>
      <w:pPr>
        <w:pStyle w:val="28"/>
        <w:numPr>
          <w:ilvl w:val="0"/>
          <w:numId w:val="8"/>
        </w:numPr>
        <w:spacing w:line="360" w:lineRule="auto"/>
        <w:jc w:val="both"/>
        <w:rPr>
          <w:rFonts w:cs="Arial"/>
        </w:rPr>
      </w:pPr>
      <w:r>
        <w:rPr>
          <w:rFonts w:cs="Arial"/>
        </w:rPr>
        <w:t>Kondisi Rusak Ringan</w:t>
      </w:r>
      <w:r>
        <w:rPr>
          <w:rFonts w:cs="Arial"/>
        </w:rPr>
        <w:tab/>
      </w:r>
      <w:r>
        <w:rPr>
          <w:rFonts w:cs="Arial"/>
        </w:rPr>
        <w:t>:       6.709.444.940,-</w:t>
      </w:r>
    </w:p>
    <w:p>
      <w:pPr>
        <w:pStyle w:val="28"/>
        <w:numPr>
          <w:ilvl w:val="0"/>
          <w:numId w:val="8"/>
        </w:numPr>
        <w:spacing w:line="360" w:lineRule="auto"/>
        <w:jc w:val="both"/>
        <w:rPr>
          <w:rFonts w:cs="Arial"/>
        </w:rPr>
      </w:pPr>
      <w:r>
        <w:rPr>
          <w:rFonts w:cs="Arial"/>
        </w:rPr>
        <w:t>Kondisi Rusak Berat</w:t>
      </w:r>
      <w:r>
        <w:rPr>
          <w:rFonts w:cs="Arial"/>
        </w:rPr>
        <w:tab/>
      </w:r>
      <w:r>
        <w:rPr>
          <w:rFonts w:cs="Arial"/>
        </w:rPr>
        <w:t>:     22.151.387.353,-</w:t>
      </w:r>
    </w:p>
    <w:p>
      <w:pPr>
        <w:pStyle w:val="28"/>
        <w:spacing w:line="360" w:lineRule="auto"/>
        <w:ind w:left="1080"/>
        <w:jc w:val="both"/>
        <w:rPr>
          <w:rFonts w:cs="Arial"/>
          <w:b/>
          <w:color w:val="000000"/>
        </w:rPr>
      </w:pPr>
      <w:r>
        <w:rPr>
          <w:rFonts w:cs="Arial"/>
        </w:rPr>
        <w:t>TOTAL</w:t>
      </w:r>
      <w:r>
        <w:rPr>
          <w:rFonts w:cs="Arial"/>
        </w:rPr>
        <w:tab/>
      </w:r>
      <w:r>
        <w:rPr>
          <w:rFonts w:cs="Arial"/>
        </w:rPr>
        <w:tab/>
      </w:r>
      <w:r>
        <w:rPr>
          <w:rFonts w:cs="Arial"/>
        </w:rPr>
        <w:tab/>
      </w:r>
      <w:r>
        <w:rPr>
          <w:rFonts w:cs="Arial"/>
        </w:rPr>
        <w:t xml:space="preserve">:   </w:t>
      </w:r>
      <w:r>
        <w:rPr>
          <w:rFonts w:cs="Arial"/>
          <w:b/>
        </w:rPr>
        <w:t>889.535.877.547,-</w:t>
      </w:r>
    </w:p>
    <w:p>
      <w:pPr>
        <w:keepNext/>
        <w:spacing w:line="360" w:lineRule="auto"/>
        <w:contextualSpacing/>
        <w:jc w:val="center"/>
      </w:pPr>
    </w:p>
    <w:p>
      <w:pPr>
        <w:keepNext/>
        <w:spacing w:line="360" w:lineRule="auto"/>
        <w:contextualSpacing/>
        <w:jc w:val="center"/>
        <w:sectPr>
          <w:type w:val="continuous"/>
          <w:pgSz w:w="16839" w:h="11907" w:orient="landscape"/>
          <w:pgMar w:top="1440" w:right="1440" w:bottom="1440" w:left="1440" w:header="720" w:footer="60" w:gutter="0"/>
          <w:cols w:space="720" w:num="2"/>
          <w:docGrid w:linePitch="360" w:charSpace="0"/>
        </w:sectPr>
      </w:pPr>
    </w:p>
    <w:p>
      <w:pPr>
        <w:keepNext/>
        <w:spacing w:line="360" w:lineRule="auto"/>
        <w:contextualSpacing/>
        <w:jc w:val="center"/>
      </w:pPr>
      <w:r>
        <w:rPr>
          <w:rFonts w:cs="Arial"/>
          <w:color w:val="000000"/>
          <w:lang w:val="id-ID" w:eastAsia="id-ID"/>
        </w:rPr>
        <w:drawing>
          <wp:inline distT="0" distB="0" distL="0" distR="0">
            <wp:extent cx="5530215" cy="2324735"/>
            <wp:effectExtent l="0" t="0" r="0" b="0"/>
            <wp:docPr id="7" name="Objec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9"/>
        <w:rPr>
          <w:lang w:val="id-ID"/>
        </w:rPr>
      </w:pPr>
      <w:bookmarkStart w:id="20" w:name="_Toc430523211"/>
      <w:r>
        <w:t xml:space="preserve">Gambar 2. </w:t>
      </w:r>
      <w:r>
        <w:fldChar w:fldCharType="begin"/>
      </w:r>
      <w:r>
        <w:instrText xml:space="preserve"> SEQ Gambar_2._ \* ARABIC </w:instrText>
      </w:r>
      <w:r>
        <w:fldChar w:fldCharType="separate"/>
      </w:r>
      <w:r>
        <w:t>3</w:t>
      </w:r>
      <w:r>
        <w:fldChar w:fldCharType="end"/>
      </w:r>
      <w:r>
        <w:rPr>
          <w:lang w:val="id-ID"/>
        </w:rPr>
        <w:t xml:space="preserve"> Target </w:t>
      </w:r>
      <w:r>
        <w:t>d</w:t>
      </w:r>
      <w:r>
        <w:rPr>
          <w:lang w:val="id-ID"/>
        </w:rPr>
        <w:t>an Skor Kinerja KeuanganTahun 2009-2013</w:t>
      </w:r>
      <w:bookmarkEnd w:id="20"/>
    </w:p>
    <w:p>
      <w:pPr>
        <w:tabs>
          <w:tab w:val="left" w:pos="630"/>
        </w:tabs>
        <w:spacing w:line="360" w:lineRule="auto"/>
        <w:ind w:left="540"/>
        <w:contextualSpacing/>
        <w:jc w:val="both"/>
        <w:rPr>
          <w:rFonts w:cs="Arial"/>
        </w:rPr>
      </w:pPr>
    </w:p>
    <w:p>
      <w:pPr>
        <w:tabs>
          <w:tab w:val="left" w:pos="630"/>
        </w:tabs>
        <w:spacing w:line="360" w:lineRule="auto"/>
        <w:ind w:left="540"/>
        <w:contextualSpacing/>
        <w:jc w:val="both"/>
        <w:rPr>
          <w:rFonts w:cs="Arial"/>
        </w:rPr>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rFonts w:cs="Arial"/>
          <w:color w:val="FF0000"/>
          <w:lang w:val="id-ID"/>
        </w:rPr>
      </w:pPr>
      <w:r>
        <w:rPr>
          <w:rFonts w:cs="Arial"/>
        </w:rPr>
        <w:t>Perhitungan indikator kinerja keuangan terjadi perubahan penilaian pada tahun 2013 mengacu PMK Nomor 54/PB/2013 tanggal 31 Desember 2013 tentang Pedoman Penilaian Kinerja Satuan Kerja Badan Layanan Umum Bidang Layanan Kesehatan.</w:t>
      </w:r>
    </w:p>
    <w:p>
      <w:pPr>
        <w:spacing w:line="360" w:lineRule="auto"/>
        <w:ind w:firstLine="709"/>
        <w:jc w:val="both"/>
        <w:rPr>
          <w:rFonts w:cs="Arial"/>
          <w:color w:val="000000"/>
        </w:rPr>
      </w:pPr>
      <w:r>
        <w:rPr>
          <w:rFonts w:cs="Arial"/>
          <w:color w:val="000000"/>
        </w:rPr>
        <w:t>Untuk mencapai sasaran Kinerja Pengelolaan Keuangan tiap tahun dibuat target indikator keuangan mulai tahun 2009 sampai tahun 2013. Setiap tahun realisasi pencapaian kinerja keuangan berada diatas target yang ditetapkan dengan kisaran peningkatan sebesar 11%-15%.</w:t>
      </w:r>
    </w:p>
    <w:p>
      <w:pPr>
        <w:spacing w:line="360" w:lineRule="auto"/>
        <w:ind w:firstLine="709"/>
        <w:contextualSpacing/>
        <w:jc w:val="both"/>
        <w:rPr>
          <w:rFonts w:cs="Arial"/>
          <w:color w:val="000000"/>
        </w:rPr>
      </w:pPr>
      <w:r>
        <w:rPr>
          <w:rFonts w:cs="Arial"/>
          <w:color w:val="000000"/>
        </w:rPr>
        <w:t>Berikut ini akan dijabarkan pencapaian Pendapatan dan Biaya tahun 2009 sampai dengan 2013.</w:t>
      </w:r>
    </w:p>
    <w:p>
      <w:pPr>
        <w:pStyle w:val="28"/>
        <w:numPr>
          <w:ilvl w:val="1"/>
          <w:numId w:val="7"/>
        </w:numPr>
        <w:spacing w:after="0" w:line="360" w:lineRule="auto"/>
        <w:ind w:left="360"/>
        <w:jc w:val="both"/>
        <w:rPr>
          <w:rFonts w:cs="Arial"/>
          <w:b/>
          <w:color w:val="000000"/>
        </w:rPr>
      </w:pPr>
      <w:r>
        <w:rPr>
          <w:rFonts w:cs="Arial"/>
          <w:b/>
          <w:color w:val="000000"/>
        </w:rPr>
        <w:t xml:space="preserve">Pendapatan </w:t>
      </w:r>
    </w:p>
    <w:p>
      <w:pPr>
        <w:spacing w:line="360" w:lineRule="auto"/>
        <w:ind w:firstLine="709"/>
        <w:jc w:val="both"/>
        <w:rPr>
          <w:rFonts w:cs="Arial"/>
          <w:color w:val="000000"/>
        </w:rPr>
      </w:pPr>
      <w:r>
        <w:rPr>
          <w:rFonts w:cs="Arial"/>
          <w:color w:val="000000"/>
        </w:rPr>
        <w:t xml:space="preserve">Pendapatan rumah sakit diperoleh dari jasa layanan medis, penunjang medis, dan pendapatan lainnya yang diterima rumah sakit dari masyarakat (pasien) secara tunai, pembayaran piutang, dan pendapatan lainnya. </w:t>
      </w:r>
    </w:p>
    <w:p>
      <w:pPr>
        <w:spacing w:line="360" w:lineRule="auto"/>
        <w:ind w:firstLine="709"/>
        <w:jc w:val="both"/>
        <w:rPr>
          <w:rFonts w:cs="Arial"/>
          <w:color w:val="000000"/>
        </w:rPr>
      </w:pPr>
      <w:r>
        <w:rPr>
          <w:rFonts w:cs="Arial"/>
          <w:color w:val="000000"/>
        </w:rPr>
        <w:t>Realisasi pendapatan rumah sakit PNBP-BLU pada tahun 2009 sampai dengan tahun 2013, merupakan salah satu pencapaian kinerja rumah sakit, disajikan dalam bentuk tabel sebagaimana dapat dilihat pada table 2.7.</w:t>
      </w:r>
    </w:p>
    <w:p>
      <w:pPr>
        <w:pStyle w:val="9"/>
        <w:keepNext/>
        <w:sectPr>
          <w:type w:val="continuous"/>
          <w:pgSz w:w="16839" w:h="11907" w:orient="landscape"/>
          <w:pgMar w:top="1440" w:right="1440" w:bottom="1440" w:left="1440" w:header="720" w:footer="60" w:gutter="0"/>
          <w:cols w:space="720" w:num="1"/>
          <w:docGrid w:linePitch="360" w:charSpace="0"/>
        </w:sectPr>
      </w:pPr>
    </w:p>
    <w:p>
      <w:pPr>
        <w:pStyle w:val="9"/>
        <w:keepNext/>
        <w:rPr>
          <w:lang w:val="id-ID"/>
        </w:rPr>
      </w:pPr>
      <w:bookmarkStart w:id="21" w:name="_Toc430523089"/>
      <w:r>
        <w:t xml:space="preserve">Tabel 2. </w:t>
      </w:r>
      <w:r>
        <w:fldChar w:fldCharType="begin"/>
      </w:r>
      <w:r>
        <w:instrText xml:space="preserve"> SEQ Tabel_2. \* ARABIC </w:instrText>
      </w:r>
      <w:r>
        <w:fldChar w:fldCharType="separate"/>
      </w:r>
      <w:r>
        <w:t>7</w:t>
      </w:r>
      <w:r>
        <w:fldChar w:fldCharType="end"/>
      </w:r>
      <w:r>
        <w:t xml:space="preserve"> Realisasi Pencapaian Pendapatan Tahun 2009-2013</w:t>
      </w:r>
      <w:bookmarkEnd w:id="21"/>
    </w:p>
    <w:tbl>
      <w:tblPr>
        <w:tblStyle w:val="47"/>
        <w:tblW w:w="9279"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820"/>
        <w:gridCol w:w="1655"/>
        <w:gridCol w:w="2965"/>
        <w:gridCol w:w="2131"/>
        <w:gridCol w:w="1708"/>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shd w:val="clear" w:color="auto" w:fill="ECCF74"/>
          </w:tcPr>
          <w:p>
            <w:pPr>
              <w:spacing w:after="0" w:line="360" w:lineRule="auto"/>
              <w:jc w:val="center"/>
              <w:rPr>
                <w:rFonts w:cs="Arial"/>
                <w:b/>
                <w:bCs/>
                <w:color w:val="000000"/>
                <w:sz w:val="20"/>
                <w:szCs w:val="20"/>
              </w:rPr>
            </w:pPr>
            <w:r>
              <w:rPr>
                <w:rFonts w:cs="Arial"/>
                <w:b/>
                <w:bCs/>
                <w:color w:val="000000"/>
                <w:sz w:val="20"/>
                <w:szCs w:val="20"/>
              </w:rPr>
              <w:t>No</w:t>
            </w:r>
          </w:p>
        </w:tc>
        <w:tc>
          <w:tcPr>
            <w:tcW w:w="1655" w:type="dxa"/>
            <w:shd w:val="clear" w:color="auto" w:fill="ECCF74"/>
          </w:tcPr>
          <w:p>
            <w:pPr>
              <w:spacing w:after="0" w:line="360" w:lineRule="auto"/>
              <w:jc w:val="center"/>
              <w:rPr>
                <w:rFonts w:cs="Arial"/>
                <w:b/>
                <w:bCs/>
                <w:color w:val="000000"/>
                <w:sz w:val="20"/>
                <w:szCs w:val="20"/>
              </w:rPr>
            </w:pPr>
            <w:r>
              <w:rPr>
                <w:rFonts w:cs="Arial"/>
                <w:b/>
                <w:bCs/>
                <w:color w:val="000000"/>
                <w:sz w:val="20"/>
                <w:szCs w:val="20"/>
              </w:rPr>
              <w:t>TAHUN</w:t>
            </w:r>
          </w:p>
        </w:tc>
        <w:tc>
          <w:tcPr>
            <w:tcW w:w="2965" w:type="dxa"/>
            <w:shd w:val="clear" w:color="auto" w:fill="ECCF74"/>
          </w:tcPr>
          <w:p>
            <w:pPr>
              <w:spacing w:after="0" w:line="360" w:lineRule="auto"/>
              <w:jc w:val="center"/>
              <w:rPr>
                <w:rFonts w:cs="Arial"/>
                <w:b/>
                <w:bCs/>
                <w:color w:val="000000"/>
                <w:sz w:val="20"/>
                <w:szCs w:val="20"/>
              </w:rPr>
            </w:pPr>
            <w:r>
              <w:rPr>
                <w:rFonts w:cs="Arial"/>
                <w:b/>
                <w:bCs/>
                <w:color w:val="000000"/>
                <w:sz w:val="20"/>
                <w:szCs w:val="20"/>
              </w:rPr>
              <w:t>PENDAPATAN REALISASI</w:t>
            </w:r>
          </w:p>
        </w:tc>
        <w:tc>
          <w:tcPr>
            <w:tcW w:w="2131" w:type="dxa"/>
            <w:shd w:val="clear" w:color="auto" w:fill="ECCF74"/>
          </w:tcPr>
          <w:p>
            <w:pPr>
              <w:spacing w:after="0" w:line="360" w:lineRule="auto"/>
              <w:jc w:val="center"/>
              <w:rPr>
                <w:rFonts w:cs="Arial"/>
                <w:b/>
                <w:bCs/>
                <w:color w:val="000000"/>
                <w:sz w:val="20"/>
                <w:szCs w:val="20"/>
              </w:rPr>
            </w:pPr>
            <w:r>
              <w:rPr>
                <w:rFonts w:cs="Arial"/>
                <w:b/>
                <w:bCs/>
                <w:color w:val="000000"/>
                <w:sz w:val="20"/>
                <w:szCs w:val="20"/>
              </w:rPr>
              <w:t>KENAIKAN</w:t>
            </w:r>
          </w:p>
        </w:tc>
        <w:tc>
          <w:tcPr>
            <w:tcW w:w="1708" w:type="dxa"/>
            <w:shd w:val="clear" w:color="auto" w:fill="ECCF74"/>
          </w:tcPr>
          <w:p>
            <w:pPr>
              <w:spacing w:after="0" w:line="360" w:lineRule="auto"/>
              <w:jc w:val="center"/>
              <w:rPr>
                <w:rFonts w:cs="Arial"/>
                <w:b/>
                <w:bCs/>
                <w:color w:val="000000"/>
                <w:sz w:val="20"/>
                <w:szCs w:val="20"/>
              </w:rPr>
            </w:pPr>
            <w:r>
              <w:rPr>
                <w:rFonts w:cs="Arial"/>
                <w:b/>
                <w:bCs/>
                <w:color w:val="000000"/>
                <w:sz w:val="20"/>
                <w:szCs w:val="20"/>
              </w:rPr>
              <w:t>%</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tcPr>
          <w:p>
            <w:pPr>
              <w:spacing w:after="0" w:line="360" w:lineRule="auto"/>
              <w:jc w:val="center"/>
              <w:rPr>
                <w:rFonts w:cs="Arial"/>
                <w:color w:val="000000"/>
                <w:sz w:val="20"/>
                <w:szCs w:val="20"/>
              </w:rPr>
            </w:pPr>
            <w:r>
              <w:rPr>
                <w:rFonts w:cs="Arial"/>
                <w:color w:val="000000"/>
                <w:sz w:val="20"/>
                <w:szCs w:val="20"/>
              </w:rPr>
              <w:t>1</w:t>
            </w:r>
          </w:p>
        </w:tc>
        <w:tc>
          <w:tcPr>
            <w:tcW w:w="1655" w:type="dxa"/>
          </w:tcPr>
          <w:p>
            <w:pPr>
              <w:spacing w:after="0" w:line="360" w:lineRule="auto"/>
              <w:jc w:val="center"/>
              <w:rPr>
                <w:rFonts w:cs="Arial"/>
                <w:color w:val="000000"/>
                <w:sz w:val="20"/>
                <w:szCs w:val="20"/>
              </w:rPr>
            </w:pPr>
            <w:r>
              <w:rPr>
                <w:rFonts w:cs="Arial"/>
                <w:color w:val="000000"/>
                <w:sz w:val="20"/>
                <w:szCs w:val="20"/>
              </w:rPr>
              <w:t>2009</w:t>
            </w:r>
          </w:p>
        </w:tc>
        <w:tc>
          <w:tcPr>
            <w:tcW w:w="2965" w:type="dxa"/>
          </w:tcPr>
          <w:p>
            <w:pPr>
              <w:spacing w:after="0" w:line="360" w:lineRule="auto"/>
              <w:jc w:val="right"/>
              <w:rPr>
                <w:sz w:val="20"/>
                <w:szCs w:val="20"/>
              </w:rPr>
            </w:pPr>
            <w:r>
              <w:rPr>
                <w:sz w:val="20"/>
                <w:szCs w:val="20"/>
              </w:rPr>
              <w:t>258.930.193.090</w:t>
            </w:r>
          </w:p>
        </w:tc>
        <w:tc>
          <w:tcPr>
            <w:tcW w:w="2131" w:type="dxa"/>
          </w:tcPr>
          <w:p>
            <w:pPr>
              <w:spacing w:after="0" w:line="360" w:lineRule="auto"/>
              <w:jc w:val="right"/>
              <w:rPr>
                <w:sz w:val="20"/>
                <w:szCs w:val="20"/>
              </w:rPr>
            </w:pPr>
          </w:p>
        </w:tc>
        <w:tc>
          <w:tcPr>
            <w:tcW w:w="1708" w:type="dxa"/>
          </w:tcPr>
          <w:p>
            <w:pPr>
              <w:spacing w:after="0" w:line="360" w:lineRule="auto"/>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tcPr>
          <w:p>
            <w:pPr>
              <w:spacing w:after="0" w:line="360" w:lineRule="auto"/>
              <w:jc w:val="center"/>
              <w:rPr>
                <w:rFonts w:cs="Arial"/>
                <w:color w:val="000000"/>
                <w:sz w:val="20"/>
                <w:szCs w:val="20"/>
              </w:rPr>
            </w:pPr>
            <w:r>
              <w:rPr>
                <w:rFonts w:cs="Arial"/>
                <w:color w:val="000000"/>
                <w:sz w:val="20"/>
                <w:szCs w:val="20"/>
              </w:rPr>
              <w:t>2</w:t>
            </w:r>
          </w:p>
        </w:tc>
        <w:tc>
          <w:tcPr>
            <w:tcW w:w="1655" w:type="dxa"/>
          </w:tcPr>
          <w:p>
            <w:pPr>
              <w:spacing w:after="0" w:line="360" w:lineRule="auto"/>
              <w:jc w:val="center"/>
              <w:rPr>
                <w:rFonts w:cs="Arial"/>
                <w:color w:val="000000"/>
                <w:sz w:val="20"/>
                <w:szCs w:val="20"/>
              </w:rPr>
            </w:pPr>
            <w:r>
              <w:rPr>
                <w:rFonts w:cs="Arial"/>
                <w:color w:val="000000"/>
                <w:sz w:val="20"/>
                <w:szCs w:val="20"/>
              </w:rPr>
              <w:t>2010</w:t>
            </w:r>
          </w:p>
        </w:tc>
        <w:tc>
          <w:tcPr>
            <w:tcW w:w="2965" w:type="dxa"/>
          </w:tcPr>
          <w:p>
            <w:pPr>
              <w:spacing w:after="0" w:line="360" w:lineRule="auto"/>
              <w:jc w:val="right"/>
              <w:rPr>
                <w:sz w:val="20"/>
                <w:szCs w:val="20"/>
              </w:rPr>
            </w:pPr>
            <w:r>
              <w:rPr>
                <w:sz w:val="20"/>
                <w:szCs w:val="20"/>
              </w:rPr>
              <w:t>288.436.828.596</w:t>
            </w:r>
          </w:p>
        </w:tc>
        <w:tc>
          <w:tcPr>
            <w:tcW w:w="2131" w:type="dxa"/>
          </w:tcPr>
          <w:p>
            <w:pPr>
              <w:spacing w:after="0" w:line="360" w:lineRule="auto"/>
              <w:jc w:val="right"/>
              <w:rPr>
                <w:sz w:val="20"/>
                <w:szCs w:val="20"/>
              </w:rPr>
            </w:pPr>
            <w:r>
              <w:rPr>
                <w:sz w:val="20"/>
                <w:szCs w:val="20"/>
              </w:rPr>
              <w:t>29.506.635.506</w:t>
            </w:r>
          </w:p>
        </w:tc>
        <w:tc>
          <w:tcPr>
            <w:tcW w:w="1708" w:type="dxa"/>
          </w:tcPr>
          <w:p>
            <w:pPr>
              <w:spacing w:after="0" w:line="360" w:lineRule="auto"/>
              <w:jc w:val="center"/>
              <w:rPr>
                <w:sz w:val="20"/>
                <w:szCs w:val="20"/>
              </w:rPr>
            </w:pPr>
            <w:r>
              <w:rPr>
                <w:sz w:val="20"/>
                <w:szCs w:val="20"/>
              </w:rPr>
              <w:t>11,40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tcPr>
          <w:p>
            <w:pPr>
              <w:spacing w:after="0" w:line="360" w:lineRule="auto"/>
              <w:jc w:val="center"/>
              <w:rPr>
                <w:rFonts w:cs="Arial"/>
                <w:color w:val="000000"/>
                <w:sz w:val="20"/>
                <w:szCs w:val="20"/>
              </w:rPr>
            </w:pPr>
            <w:r>
              <w:rPr>
                <w:rFonts w:cs="Arial"/>
                <w:color w:val="000000"/>
                <w:sz w:val="20"/>
                <w:szCs w:val="20"/>
              </w:rPr>
              <w:t>3</w:t>
            </w:r>
          </w:p>
        </w:tc>
        <w:tc>
          <w:tcPr>
            <w:tcW w:w="1655" w:type="dxa"/>
          </w:tcPr>
          <w:p>
            <w:pPr>
              <w:spacing w:after="0" w:line="360" w:lineRule="auto"/>
              <w:jc w:val="center"/>
              <w:rPr>
                <w:rFonts w:cs="Arial"/>
                <w:color w:val="000000"/>
                <w:sz w:val="20"/>
                <w:szCs w:val="20"/>
              </w:rPr>
            </w:pPr>
            <w:r>
              <w:rPr>
                <w:rFonts w:cs="Arial"/>
                <w:color w:val="000000"/>
                <w:sz w:val="20"/>
                <w:szCs w:val="20"/>
              </w:rPr>
              <w:t>2011</w:t>
            </w:r>
          </w:p>
        </w:tc>
        <w:tc>
          <w:tcPr>
            <w:tcW w:w="2965" w:type="dxa"/>
          </w:tcPr>
          <w:p>
            <w:pPr>
              <w:spacing w:after="0" w:line="360" w:lineRule="auto"/>
              <w:jc w:val="right"/>
              <w:rPr>
                <w:sz w:val="20"/>
                <w:szCs w:val="20"/>
              </w:rPr>
            </w:pPr>
            <w:r>
              <w:rPr>
                <w:sz w:val="20"/>
                <w:szCs w:val="20"/>
              </w:rPr>
              <w:t>391.348.772.635</w:t>
            </w:r>
          </w:p>
        </w:tc>
        <w:tc>
          <w:tcPr>
            <w:tcW w:w="2131" w:type="dxa"/>
          </w:tcPr>
          <w:p>
            <w:pPr>
              <w:spacing w:after="0" w:line="360" w:lineRule="auto"/>
              <w:jc w:val="right"/>
              <w:rPr>
                <w:sz w:val="20"/>
                <w:szCs w:val="20"/>
              </w:rPr>
            </w:pPr>
            <w:r>
              <w:rPr>
                <w:sz w:val="20"/>
                <w:szCs w:val="20"/>
              </w:rPr>
              <w:t>102.911.944.039</w:t>
            </w:r>
          </w:p>
        </w:tc>
        <w:tc>
          <w:tcPr>
            <w:tcW w:w="1708" w:type="dxa"/>
          </w:tcPr>
          <w:p>
            <w:pPr>
              <w:spacing w:after="0" w:line="360" w:lineRule="auto"/>
              <w:jc w:val="center"/>
              <w:rPr>
                <w:sz w:val="20"/>
                <w:szCs w:val="20"/>
              </w:rPr>
            </w:pPr>
            <w:r>
              <w:rPr>
                <w:sz w:val="20"/>
                <w:szCs w:val="20"/>
              </w:rPr>
              <w:t>35,68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tcPr>
          <w:p>
            <w:pPr>
              <w:spacing w:after="0" w:line="360" w:lineRule="auto"/>
              <w:jc w:val="center"/>
              <w:rPr>
                <w:rFonts w:cs="Arial"/>
                <w:color w:val="000000"/>
                <w:sz w:val="20"/>
                <w:szCs w:val="20"/>
              </w:rPr>
            </w:pPr>
            <w:r>
              <w:rPr>
                <w:rFonts w:cs="Arial"/>
                <w:color w:val="000000"/>
                <w:sz w:val="20"/>
                <w:szCs w:val="20"/>
              </w:rPr>
              <w:t>4</w:t>
            </w:r>
          </w:p>
        </w:tc>
        <w:tc>
          <w:tcPr>
            <w:tcW w:w="1655" w:type="dxa"/>
          </w:tcPr>
          <w:p>
            <w:pPr>
              <w:spacing w:after="0" w:line="360" w:lineRule="auto"/>
              <w:jc w:val="center"/>
              <w:rPr>
                <w:rFonts w:cs="Arial"/>
                <w:color w:val="000000"/>
                <w:sz w:val="20"/>
                <w:szCs w:val="20"/>
              </w:rPr>
            </w:pPr>
            <w:r>
              <w:rPr>
                <w:rFonts w:cs="Arial"/>
                <w:color w:val="000000"/>
                <w:sz w:val="20"/>
                <w:szCs w:val="20"/>
              </w:rPr>
              <w:t>2012</w:t>
            </w:r>
          </w:p>
        </w:tc>
        <w:tc>
          <w:tcPr>
            <w:tcW w:w="2965" w:type="dxa"/>
          </w:tcPr>
          <w:p>
            <w:pPr>
              <w:spacing w:after="0" w:line="360" w:lineRule="auto"/>
              <w:jc w:val="right"/>
              <w:rPr>
                <w:sz w:val="20"/>
                <w:szCs w:val="20"/>
              </w:rPr>
            </w:pPr>
            <w:r>
              <w:rPr>
                <w:sz w:val="20"/>
                <w:szCs w:val="20"/>
              </w:rPr>
              <w:t>492.193.366.827</w:t>
            </w:r>
          </w:p>
        </w:tc>
        <w:tc>
          <w:tcPr>
            <w:tcW w:w="2131" w:type="dxa"/>
          </w:tcPr>
          <w:p>
            <w:pPr>
              <w:spacing w:after="0" w:line="360" w:lineRule="auto"/>
              <w:jc w:val="right"/>
              <w:rPr>
                <w:sz w:val="20"/>
                <w:szCs w:val="20"/>
              </w:rPr>
            </w:pPr>
            <w:r>
              <w:rPr>
                <w:sz w:val="20"/>
                <w:szCs w:val="20"/>
              </w:rPr>
              <w:t>100.844.594.192</w:t>
            </w:r>
          </w:p>
        </w:tc>
        <w:tc>
          <w:tcPr>
            <w:tcW w:w="1708" w:type="dxa"/>
          </w:tcPr>
          <w:p>
            <w:pPr>
              <w:spacing w:after="0" w:line="360" w:lineRule="auto"/>
              <w:jc w:val="center"/>
              <w:rPr>
                <w:sz w:val="20"/>
                <w:szCs w:val="20"/>
              </w:rPr>
            </w:pPr>
            <w:r>
              <w:rPr>
                <w:sz w:val="20"/>
                <w:szCs w:val="20"/>
              </w:rPr>
              <w:t>25,77</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5" w:hRule="atLeast"/>
          <w:jc w:val="center"/>
        </w:trPr>
        <w:tc>
          <w:tcPr>
            <w:tcW w:w="820" w:type="dxa"/>
          </w:tcPr>
          <w:p>
            <w:pPr>
              <w:spacing w:after="0" w:line="360" w:lineRule="auto"/>
              <w:jc w:val="center"/>
              <w:rPr>
                <w:rFonts w:cs="Arial"/>
                <w:color w:val="000000"/>
                <w:sz w:val="20"/>
                <w:szCs w:val="20"/>
              </w:rPr>
            </w:pPr>
            <w:r>
              <w:rPr>
                <w:rFonts w:cs="Arial"/>
                <w:color w:val="000000"/>
                <w:sz w:val="20"/>
                <w:szCs w:val="20"/>
              </w:rPr>
              <w:t>5</w:t>
            </w:r>
          </w:p>
        </w:tc>
        <w:tc>
          <w:tcPr>
            <w:tcW w:w="1655" w:type="dxa"/>
          </w:tcPr>
          <w:p>
            <w:pPr>
              <w:spacing w:after="0" w:line="360" w:lineRule="auto"/>
              <w:jc w:val="center"/>
              <w:rPr>
                <w:rFonts w:cs="Arial"/>
                <w:color w:val="000000"/>
                <w:sz w:val="20"/>
                <w:szCs w:val="20"/>
              </w:rPr>
            </w:pPr>
            <w:r>
              <w:rPr>
                <w:rFonts w:cs="Arial"/>
                <w:color w:val="000000"/>
                <w:sz w:val="20"/>
                <w:szCs w:val="20"/>
              </w:rPr>
              <w:t>2013</w:t>
            </w:r>
          </w:p>
        </w:tc>
        <w:tc>
          <w:tcPr>
            <w:tcW w:w="2965" w:type="dxa"/>
          </w:tcPr>
          <w:p>
            <w:pPr>
              <w:spacing w:after="0" w:line="360" w:lineRule="auto"/>
              <w:jc w:val="right"/>
              <w:rPr>
                <w:sz w:val="20"/>
                <w:szCs w:val="20"/>
              </w:rPr>
            </w:pPr>
            <w:r>
              <w:rPr>
                <w:sz w:val="20"/>
                <w:szCs w:val="20"/>
              </w:rPr>
              <w:t>581.840.592.878</w:t>
            </w:r>
          </w:p>
        </w:tc>
        <w:tc>
          <w:tcPr>
            <w:tcW w:w="2131" w:type="dxa"/>
          </w:tcPr>
          <w:p>
            <w:pPr>
              <w:spacing w:after="0" w:line="360" w:lineRule="auto"/>
              <w:jc w:val="right"/>
              <w:rPr>
                <w:sz w:val="20"/>
                <w:szCs w:val="20"/>
              </w:rPr>
            </w:pPr>
            <w:r>
              <w:rPr>
                <w:sz w:val="20"/>
                <w:szCs w:val="20"/>
              </w:rPr>
              <w:t>89.647.226.051</w:t>
            </w:r>
          </w:p>
        </w:tc>
        <w:tc>
          <w:tcPr>
            <w:tcW w:w="1708" w:type="dxa"/>
          </w:tcPr>
          <w:p>
            <w:pPr>
              <w:spacing w:after="0" w:line="360" w:lineRule="auto"/>
              <w:jc w:val="center"/>
              <w:rPr>
                <w:sz w:val="20"/>
                <w:szCs w:val="20"/>
              </w:rPr>
            </w:pPr>
            <w:r>
              <w:rPr>
                <w:sz w:val="20"/>
                <w:szCs w:val="20"/>
              </w:rPr>
              <w:t>18,21</w:t>
            </w:r>
          </w:p>
        </w:tc>
      </w:tr>
    </w:tbl>
    <w:p>
      <w:pPr>
        <w:spacing w:line="360" w:lineRule="auto"/>
        <w:ind w:left="1418"/>
        <w:jc w:val="both"/>
        <w:rPr>
          <w:rFonts w:cs="Arial"/>
          <w:b/>
          <w:color w:val="000000"/>
        </w:rPr>
      </w:pPr>
    </w:p>
    <w:p>
      <w:pPr>
        <w:spacing w:line="360" w:lineRule="auto"/>
        <w:ind w:left="1418"/>
        <w:jc w:val="both"/>
        <w:rPr>
          <w:rFonts w:cs="Arial"/>
          <w:color w:val="000000"/>
        </w:rPr>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rFonts w:cs="Arial"/>
          <w:color w:val="000000"/>
        </w:rPr>
      </w:pPr>
      <w:r>
        <w:rPr>
          <w:rFonts w:cs="Arial"/>
          <w:color w:val="000000"/>
        </w:rPr>
        <w:t>Pada tabel 2.7, terlihat pada tahun 2011 terjadi peningkatan pendapatan yang sangat signifikan,  hal ini dikarenakan adanya penghapusan sistem Kerja Sama Operasional (KSO) dengan pihak ketiga diantaranya pengelolaan: Farmasi, Laboratorium, dan Kedokteran Nuklir menjadi pelayanan satu pintu.</w:t>
      </w:r>
    </w:p>
    <w:p>
      <w:pPr>
        <w:pStyle w:val="28"/>
        <w:keepNext/>
        <w:numPr>
          <w:ilvl w:val="1"/>
          <w:numId w:val="7"/>
        </w:numPr>
        <w:spacing w:after="0" w:line="360" w:lineRule="auto"/>
        <w:ind w:left="360"/>
        <w:jc w:val="both"/>
        <w:rPr>
          <w:rFonts w:cs="Arial"/>
          <w:b/>
          <w:color w:val="000000"/>
        </w:rPr>
      </w:pPr>
      <w:r>
        <w:rPr>
          <w:rFonts w:cs="Arial"/>
          <w:b/>
          <w:color w:val="000000"/>
        </w:rPr>
        <w:t>Belanja</w:t>
      </w:r>
    </w:p>
    <w:p>
      <w:pPr>
        <w:spacing w:line="360" w:lineRule="auto"/>
        <w:ind w:firstLine="709"/>
        <w:jc w:val="both"/>
        <w:rPr>
          <w:rFonts w:cs="Arial"/>
          <w:b/>
          <w:color w:val="000000"/>
        </w:rPr>
      </w:pPr>
      <w:r>
        <w:rPr>
          <w:rFonts w:cs="Arial"/>
          <w:color w:val="000000"/>
        </w:rPr>
        <w:t xml:space="preserve">Belanja terdiri dari 3 (tiga) kelompok yaitu belanja pegawai, belanja barang dan belanja investasi dalam rangka pemenuhan kebutuhan, diantaranya pemberian kesejahteraan pegawai untuk mendorong meningkatkan kualitas produktivitas, pemenuhan sarana dan prasarana yang lebih baik dan lengkap, sehingga pelanggan/masyarakat akan mendapatkan pelayanan yang memuaskan.  </w:t>
      </w:r>
    </w:p>
    <w:p>
      <w:pPr>
        <w:tabs>
          <w:tab w:val="left" w:pos="1701"/>
        </w:tabs>
        <w:spacing w:line="360" w:lineRule="auto"/>
        <w:ind w:firstLine="709"/>
        <w:jc w:val="both"/>
        <w:rPr>
          <w:rFonts w:cs="Arial"/>
          <w:color w:val="000000"/>
        </w:rPr>
      </w:pPr>
      <w:r>
        <w:rPr>
          <w:rFonts w:cs="Arial"/>
          <w:color w:val="000000"/>
        </w:rPr>
        <w:t xml:space="preserve">Data realisasi belanja dari tahun 2009 sampai dengan 2012, sebagaimana disajikan pada  tabel 2.8. </w:t>
      </w:r>
    </w:p>
    <w:p>
      <w:pPr>
        <w:pStyle w:val="9"/>
        <w:sectPr>
          <w:type w:val="continuous"/>
          <w:pgSz w:w="16839" w:h="11907" w:orient="landscape"/>
          <w:pgMar w:top="1440" w:right="1440" w:bottom="1440" w:left="1440" w:header="720" w:footer="60" w:gutter="0"/>
          <w:cols w:space="720" w:num="1"/>
          <w:docGrid w:linePitch="360" w:charSpace="0"/>
        </w:sectPr>
      </w:pPr>
    </w:p>
    <w:p>
      <w:pPr>
        <w:pStyle w:val="9"/>
      </w:pPr>
      <w:bookmarkStart w:id="22" w:name="_Toc430523090"/>
      <w:r>
        <w:t xml:space="preserve">Tabel 2. </w:t>
      </w:r>
      <w:r>
        <w:fldChar w:fldCharType="begin"/>
      </w:r>
      <w:r>
        <w:instrText xml:space="preserve"> SEQ Tabel_2. \* ARABIC </w:instrText>
      </w:r>
      <w:r>
        <w:fldChar w:fldCharType="separate"/>
      </w:r>
      <w:r>
        <w:t>8</w:t>
      </w:r>
      <w:r>
        <w:fldChar w:fldCharType="end"/>
      </w:r>
      <w:r>
        <w:t xml:space="preserve"> Realisasi Belanja RSUP Dr. Hasan Sadikin Bandung</w:t>
      </w:r>
      <w:bookmarkEnd w:id="22"/>
    </w:p>
    <w:tbl>
      <w:tblPr>
        <w:tblStyle w:val="26"/>
        <w:tblW w:w="13949"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728"/>
        <w:gridCol w:w="1571"/>
        <w:gridCol w:w="2681"/>
        <w:gridCol w:w="2681"/>
        <w:gridCol w:w="2505"/>
        <w:gridCol w:w="2681"/>
        <w:gridCol w:w="1102"/>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661" w:hRule="atLeast"/>
          <w:jc w:val="center"/>
        </w:trPr>
        <w:tc>
          <w:tcPr>
            <w:tcW w:w="728"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No</w:t>
            </w:r>
          </w:p>
        </w:tc>
        <w:tc>
          <w:tcPr>
            <w:tcW w:w="1571"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Tahun</w:t>
            </w:r>
          </w:p>
        </w:tc>
        <w:tc>
          <w:tcPr>
            <w:tcW w:w="2681"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Belanja Pegawai</w:t>
            </w:r>
          </w:p>
        </w:tc>
        <w:tc>
          <w:tcPr>
            <w:tcW w:w="2681"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Belanja Barang</w:t>
            </w:r>
          </w:p>
        </w:tc>
        <w:tc>
          <w:tcPr>
            <w:tcW w:w="2505"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Belanja Modal</w:t>
            </w:r>
          </w:p>
        </w:tc>
        <w:tc>
          <w:tcPr>
            <w:tcW w:w="2681"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Jumlah</w:t>
            </w:r>
          </w:p>
        </w:tc>
        <w:tc>
          <w:tcPr>
            <w:tcW w:w="1102" w:type="dxa"/>
            <w:tcBorders>
              <w:bottom w:val="single" w:color="259073" w:themeColor="accent2" w:sz="4" w:space="0"/>
            </w:tcBorders>
            <w:shd w:val="clear" w:color="auto" w:fill="auto"/>
            <w:vAlign w:val="center"/>
          </w:tcPr>
          <w:p>
            <w:pPr>
              <w:spacing w:after="0" w:line="240" w:lineRule="auto"/>
              <w:jc w:val="center"/>
              <w:rPr>
                <w:rFonts w:cs="Arial"/>
                <w:b/>
                <w:bCs/>
                <w:color w:val="000000"/>
              </w:rPr>
            </w:pPr>
            <w:r>
              <w:rPr>
                <w:rFonts w:cs="Arial"/>
                <w:b/>
                <w:bCs/>
                <w:color w:val="000000"/>
              </w:rPr>
              <w:t>%</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jc w:val="center"/>
        </w:trPr>
        <w:tc>
          <w:tcPr>
            <w:tcW w:w="728" w:type="dxa"/>
            <w:tcBorders>
              <w:bottom w:val="nil"/>
            </w:tcBorders>
            <w:shd w:val="clear" w:color="auto" w:fill="ECCF74"/>
            <w:vAlign w:val="bottom"/>
          </w:tcPr>
          <w:p>
            <w:pPr>
              <w:spacing w:after="0" w:line="240" w:lineRule="auto"/>
              <w:jc w:val="center"/>
              <w:rPr>
                <w:rFonts w:cs="Arial"/>
                <w:color w:val="000000"/>
              </w:rPr>
            </w:pPr>
            <w:r>
              <w:rPr>
                <w:rFonts w:cs="Arial"/>
                <w:color w:val="000000"/>
              </w:rPr>
              <w:t>1</w:t>
            </w:r>
          </w:p>
        </w:tc>
        <w:tc>
          <w:tcPr>
            <w:tcW w:w="1571" w:type="dxa"/>
            <w:tcBorders>
              <w:bottom w:val="nil"/>
            </w:tcBorders>
            <w:shd w:val="clear" w:color="auto" w:fill="ECCF74"/>
            <w:vAlign w:val="bottom"/>
          </w:tcPr>
          <w:p>
            <w:pPr>
              <w:spacing w:after="0" w:line="240" w:lineRule="auto"/>
              <w:jc w:val="center"/>
              <w:rPr>
                <w:rFonts w:cs="Arial"/>
                <w:bCs/>
                <w:color w:val="000000"/>
              </w:rPr>
            </w:pPr>
            <w:r>
              <w:rPr>
                <w:rFonts w:cs="Arial"/>
                <w:bCs/>
                <w:color w:val="000000"/>
              </w:rPr>
              <w:t>2009</w:t>
            </w:r>
          </w:p>
        </w:tc>
        <w:tc>
          <w:tcPr>
            <w:tcW w:w="2681" w:type="dxa"/>
            <w:tcBorders>
              <w:bottom w:val="nil"/>
            </w:tcBorders>
            <w:shd w:val="clear" w:color="auto" w:fill="ECCF74"/>
            <w:vAlign w:val="bottom"/>
          </w:tcPr>
          <w:p>
            <w:pPr>
              <w:spacing w:after="0" w:line="240" w:lineRule="auto"/>
              <w:jc w:val="right"/>
              <w:rPr>
                <w:rFonts w:cs="Arial"/>
                <w:color w:val="000000"/>
              </w:rPr>
            </w:pPr>
            <w:r>
              <w:rPr>
                <w:rFonts w:cs="Arial"/>
                <w:color w:val="000000"/>
              </w:rPr>
              <w:t xml:space="preserve">106,999,342,871 </w:t>
            </w:r>
          </w:p>
        </w:tc>
        <w:tc>
          <w:tcPr>
            <w:tcW w:w="2681" w:type="dxa"/>
            <w:tcBorders>
              <w:bottom w:val="nil"/>
            </w:tcBorders>
            <w:shd w:val="clear" w:color="auto" w:fill="ECCF74"/>
            <w:vAlign w:val="bottom"/>
          </w:tcPr>
          <w:p>
            <w:pPr>
              <w:spacing w:after="0" w:line="240" w:lineRule="auto"/>
              <w:jc w:val="right"/>
              <w:rPr>
                <w:rFonts w:cs="Arial"/>
                <w:color w:val="000000"/>
              </w:rPr>
            </w:pPr>
            <w:r>
              <w:rPr>
                <w:rFonts w:cs="Arial"/>
                <w:color w:val="000000"/>
              </w:rPr>
              <w:t xml:space="preserve">137,847,877,160 </w:t>
            </w:r>
          </w:p>
        </w:tc>
        <w:tc>
          <w:tcPr>
            <w:tcW w:w="2505" w:type="dxa"/>
            <w:tcBorders>
              <w:bottom w:val="nil"/>
            </w:tcBorders>
            <w:shd w:val="clear" w:color="auto" w:fill="ECCF74"/>
            <w:vAlign w:val="bottom"/>
          </w:tcPr>
          <w:p>
            <w:pPr>
              <w:spacing w:after="0" w:line="240" w:lineRule="auto"/>
              <w:jc w:val="right"/>
              <w:rPr>
                <w:rFonts w:cs="Arial"/>
                <w:color w:val="000000"/>
              </w:rPr>
            </w:pPr>
            <w:r>
              <w:rPr>
                <w:rFonts w:cs="Arial"/>
                <w:color w:val="000000"/>
                <w:lang w:val="id-ID"/>
              </w:rPr>
              <w:t>1</w:t>
            </w:r>
            <w:r>
              <w:rPr>
                <w:rFonts w:cs="Arial"/>
                <w:color w:val="000000"/>
              </w:rPr>
              <w:t xml:space="preserve">8,789,895,753 </w:t>
            </w:r>
          </w:p>
        </w:tc>
        <w:tc>
          <w:tcPr>
            <w:tcW w:w="2681" w:type="dxa"/>
            <w:tcBorders>
              <w:bottom w:val="nil"/>
            </w:tcBorders>
            <w:shd w:val="clear" w:color="auto" w:fill="ECCF74"/>
            <w:vAlign w:val="bottom"/>
          </w:tcPr>
          <w:p>
            <w:pPr>
              <w:spacing w:after="0" w:line="240" w:lineRule="auto"/>
              <w:jc w:val="right"/>
              <w:rPr>
                <w:rFonts w:cs="Arial"/>
                <w:color w:val="000000"/>
              </w:rPr>
            </w:pPr>
            <w:r>
              <w:rPr>
                <w:rFonts w:cs="Arial"/>
                <w:color w:val="000000"/>
              </w:rPr>
              <w:t xml:space="preserve">263,637,115,784 </w:t>
            </w:r>
          </w:p>
        </w:tc>
        <w:tc>
          <w:tcPr>
            <w:tcW w:w="1102" w:type="dxa"/>
            <w:tcBorders>
              <w:bottom w:val="nil"/>
            </w:tcBorders>
            <w:shd w:val="clear" w:color="auto" w:fill="ECCF74"/>
            <w:vAlign w:val="bottom"/>
          </w:tcPr>
          <w:p>
            <w:pPr>
              <w:spacing w:after="0" w:line="240" w:lineRule="auto"/>
              <w:jc w:val="both"/>
              <w:rPr>
                <w:rFonts w:cs="Arial"/>
                <w:color w:val="000000"/>
              </w:rPr>
            </w:pPr>
            <w:r>
              <w:rPr>
                <w:rFonts w:cs="Arial"/>
                <w:color w:val="000000"/>
              </w:rPr>
              <w:t> </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91" w:hRule="atLeast"/>
          <w:jc w:val="center"/>
        </w:trPr>
        <w:tc>
          <w:tcPr>
            <w:tcW w:w="728"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2</w:t>
            </w:r>
          </w:p>
        </w:tc>
        <w:tc>
          <w:tcPr>
            <w:tcW w:w="1571" w:type="dxa"/>
            <w:tcBorders>
              <w:top w:val="nil"/>
              <w:bottom w:val="nil"/>
            </w:tcBorders>
            <w:shd w:val="clear" w:color="auto" w:fill="ECCF74"/>
            <w:vAlign w:val="bottom"/>
          </w:tcPr>
          <w:p>
            <w:pPr>
              <w:spacing w:after="0" w:line="240" w:lineRule="auto"/>
              <w:jc w:val="center"/>
              <w:rPr>
                <w:rFonts w:cs="Arial"/>
                <w:bCs/>
                <w:color w:val="000000"/>
              </w:rPr>
            </w:pPr>
            <w:r>
              <w:rPr>
                <w:rFonts w:cs="Arial"/>
                <w:bCs/>
                <w:color w:val="000000"/>
              </w:rPr>
              <w:t>2010</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112,221,099,098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144,151,131,780 </w:t>
            </w:r>
          </w:p>
        </w:tc>
        <w:tc>
          <w:tcPr>
            <w:tcW w:w="2505"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8,316,519,322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264,688,750,200 </w:t>
            </w:r>
          </w:p>
        </w:tc>
        <w:tc>
          <w:tcPr>
            <w:tcW w:w="1102"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0.40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66" w:hRule="atLeast"/>
          <w:jc w:val="center"/>
        </w:trPr>
        <w:tc>
          <w:tcPr>
            <w:tcW w:w="728"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3</w:t>
            </w:r>
          </w:p>
        </w:tc>
        <w:tc>
          <w:tcPr>
            <w:tcW w:w="1571" w:type="dxa"/>
            <w:tcBorders>
              <w:top w:val="nil"/>
              <w:bottom w:val="nil"/>
            </w:tcBorders>
            <w:shd w:val="clear" w:color="auto" w:fill="ECCF74"/>
            <w:vAlign w:val="bottom"/>
          </w:tcPr>
          <w:p>
            <w:pPr>
              <w:spacing w:after="0" w:line="240" w:lineRule="auto"/>
              <w:jc w:val="center"/>
              <w:rPr>
                <w:rFonts w:cs="Arial"/>
                <w:bCs/>
                <w:color w:val="000000"/>
              </w:rPr>
            </w:pPr>
            <w:r>
              <w:rPr>
                <w:rFonts w:cs="Arial"/>
                <w:bCs/>
                <w:color w:val="000000"/>
              </w:rPr>
              <w:t>2011</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135,688,236,083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232,039,117,465 </w:t>
            </w:r>
          </w:p>
        </w:tc>
        <w:tc>
          <w:tcPr>
            <w:tcW w:w="2505"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22,381,953,175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390,109,306,723 </w:t>
            </w:r>
          </w:p>
        </w:tc>
        <w:tc>
          <w:tcPr>
            <w:tcW w:w="1102"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47.38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728"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4</w:t>
            </w:r>
          </w:p>
        </w:tc>
        <w:tc>
          <w:tcPr>
            <w:tcW w:w="1571" w:type="dxa"/>
            <w:tcBorders>
              <w:top w:val="nil"/>
              <w:bottom w:val="nil"/>
            </w:tcBorders>
            <w:shd w:val="clear" w:color="auto" w:fill="ECCF74"/>
            <w:vAlign w:val="bottom"/>
          </w:tcPr>
          <w:p>
            <w:pPr>
              <w:spacing w:after="0" w:line="240" w:lineRule="auto"/>
              <w:jc w:val="center"/>
              <w:rPr>
                <w:rFonts w:cs="Arial"/>
                <w:bCs/>
                <w:color w:val="000000"/>
              </w:rPr>
            </w:pPr>
            <w:r>
              <w:rPr>
                <w:rFonts w:cs="Arial"/>
                <w:bCs/>
                <w:color w:val="000000"/>
              </w:rPr>
              <w:t>2012</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179,515,499,745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288,639,529,453 </w:t>
            </w:r>
          </w:p>
        </w:tc>
        <w:tc>
          <w:tcPr>
            <w:tcW w:w="2505"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18,825,855,867 </w:t>
            </w:r>
          </w:p>
        </w:tc>
        <w:tc>
          <w:tcPr>
            <w:tcW w:w="2681" w:type="dxa"/>
            <w:tcBorders>
              <w:top w:val="nil"/>
              <w:bottom w:val="nil"/>
            </w:tcBorders>
            <w:shd w:val="clear" w:color="auto" w:fill="ECCF74"/>
            <w:vAlign w:val="bottom"/>
          </w:tcPr>
          <w:p>
            <w:pPr>
              <w:spacing w:after="0" w:line="240" w:lineRule="auto"/>
              <w:jc w:val="right"/>
              <w:rPr>
                <w:rFonts w:cs="Arial"/>
                <w:color w:val="000000"/>
              </w:rPr>
            </w:pPr>
            <w:r>
              <w:rPr>
                <w:rFonts w:cs="Arial"/>
                <w:color w:val="000000"/>
              </w:rPr>
              <w:t xml:space="preserve">486,980,885,065 </w:t>
            </w:r>
          </w:p>
        </w:tc>
        <w:tc>
          <w:tcPr>
            <w:tcW w:w="1102" w:type="dxa"/>
            <w:tcBorders>
              <w:top w:val="nil"/>
              <w:bottom w:val="nil"/>
            </w:tcBorders>
            <w:shd w:val="clear" w:color="auto" w:fill="ECCF74"/>
            <w:vAlign w:val="bottom"/>
          </w:tcPr>
          <w:p>
            <w:pPr>
              <w:spacing w:after="0" w:line="240" w:lineRule="auto"/>
              <w:jc w:val="center"/>
              <w:rPr>
                <w:rFonts w:cs="Arial"/>
                <w:color w:val="000000"/>
              </w:rPr>
            </w:pPr>
            <w:r>
              <w:rPr>
                <w:rFonts w:cs="Arial"/>
                <w:color w:val="000000"/>
              </w:rPr>
              <w:t>24.83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728" w:type="dxa"/>
            <w:tcBorders>
              <w:top w:val="nil"/>
            </w:tcBorders>
            <w:shd w:val="clear" w:color="auto" w:fill="ECCF74"/>
            <w:vAlign w:val="bottom"/>
          </w:tcPr>
          <w:p>
            <w:pPr>
              <w:spacing w:after="0" w:line="240" w:lineRule="auto"/>
              <w:jc w:val="center"/>
              <w:rPr>
                <w:rFonts w:cs="Arial"/>
                <w:color w:val="000000"/>
              </w:rPr>
            </w:pPr>
            <w:r>
              <w:rPr>
                <w:rFonts w:cs="Arial"/>
                <w:color w:val="000000"/>
              </w:rPr>
              <w:t>5</w:t>
            </w:r>
          </w:p>
        </w:tc>
        <w:tc>
          <w:tcPr>
            <w:tcW w:w="1571" w:type="dxa"/>
            <w:tcBorders>
              <w:top w:val="nil"/>
            </w:tcBorders>
            <w:shd w:val="clear" w:color="auto" w:fill="ECCF74"/>
            <w:vAlign w:val="bottom"/>
          </w:tcPr>
          <w:p>
            <w:pPr>
              <w:spacing w:after="0" w:line="240" w:lineRule="auto"/>
              <w:jc w:val="center"/>
              <w:rPr>
                <w:rFonts w:cs="Arial"/>
                <w:bCs/>
                <w:color w:val="000000"/>
              </w:rPr>
            </w:pPr>
            <w:r>
              <w:rPr>
                <w:rFonts w:cs="Arial"/>
                <w:bCs/>
                <w:color w:val="000000"/>
              </w:rPr>
              <w:t>2013</w:t>
            </w:r>
          </w:p>
        </w:tc>
        <w:tc>
          <w:tcPr>
            <w:tcW w:w="2681" w:type="dxa"/>
            <w:tcBorders>
              <w:top w:val="nil"/>
            </w:tcBorders>
            <w:shd w:val="clear" w:color="auto" w:fill="ECCF74"/>
            <w:vAlign w:val="bottom"/>
          </w:tcPr>
          <w:p>
            <w:pPr>
              <w:spacing w:after="0" w:line="240" w:lineRule="auto"/>
              <w:jc w:val="right"/>
              <w:rPr>
                <w:rFonts w:cs="Arial"/>
                <w:color w:val="000000"/>
              </w:rPr>
            </w:pPr>
            <w:r>
              <w:rPr>
                <w:rFonts w:cs="Arial"/>
                <w:color w:val="000000"/>
              </w:rPr>
              <w:t>196,079,348,058</w:t>
            </w:r>
          </w:p>
        </w:tc>
        <w:tc>
          <w:tcPr>
            <w:tcW w:w="2681" w:type="dxa"/>
            <w:tcBorders>
              <w:top w:val="nil"/>
            </w:tcBorders>
            <w:shd w:val="clear" w:color="auto" w:fill="ECCF74"/>
            <w:vAlign w:val="bottom"/>
          </w:tcPr>
          <w:p>
            <w:pPr>
              <w:spacing w:after="0" w:line="240" w:lineRule="auto"/>
              <w:jc w:val="right"/>
              <w:rPr>
                <w:rFonts w:cs="Arial"/>
                <w:color w:val="000000"/>
              </w:rPr>
            </w:pPr>
            <w:r>
              <w:rPr>
                <w:rFonts w:cs="Arial"/>
                <w:color w:val="000000"/>
              </w:rPr>
              <w:t>535,519,180,608</w:t>
            </w:r>
          </w:p>
        </w:tc>
        <w:tc>
          <w:tcPr>
            <w:tcW w:w="2505" w:type="dxa"/>
            <w:tcBorders>
              <w:top w:val="nil"/>
            </w:tcBorders>
            <w:shd w:val="clear" w:color="auto" w:fill="ECCF74"/>
            <w:vAlign w:val="bottom"/>
          </w:tcPr>
          <w:p>
            <w:pPr>
              <w:spacing w:after="0" w:line="240" w:lineRule="auto"/>
              <w:jc w:val="right"/>
              <w:rPr>
                <w:rFonts w:cs="Arial"/>
                <w:color w:val="000000"/>
              </w:rPr>
            </w:pPr>
            <w:r>
              <w:rPr>
                <w:rFonts w:cs="Arial"/>
                <w:color w:val="000000"/>
              </w:rPr>
              <w:t>59,032,468,510</w:t>
            </w:r>
          </w:p>
        </w:tc>
        <w:tc>
          <w:tcPr>
            <w:tcW w:w="2681" w:type="dxa"/>
            <w:tcBorders>
              <w:top w:val="nil"/>
            </w:tcBorders>
            <w:shd w:val="clear" w:color="auto" w:fill="ECCF74"/>
            <w:vAlign w:val="bottom"/>
          </w:tcPr>
          <w:p>
            <w:pPr>
              <w:spacing w:after="0" w:line="240" w:lineRule="auto"/>
              <w:jc w:val="right"/>
              <w:rPr>
                <w:rFonts w:cs="Arial"/>
                <w:color w:val="000000"/>
              </w:rPr>
            </w:pPr>
            <w:r>
              <w:rPr>
                <w:rFonts w:cs="Arial"/>
                <w:color w:val="000000"/>
              </w:rPr>
              <w:t>594,551,649,118</w:t>
            </w:r>
          </w:p>
        </w:tc>
        <w:tc>
          <w:tcPr>
            <w:tcW w:w="1102" w:type="dxa"/>
            <w:tcBorders>
              <w:top w:val="nil"/>
            </w:tcBorders>
            <w:shd w:val="clear" w:color="auto" w:fill="ECCF74"/>
            <w:vAlign w:val="bottom"/>
          </w:tcPr>
          <w:p>
            <w:pPr>
              <w:spacing w:after="0" w:line="240" w:lineRule="auto"/>
              <w:jc w:val="center"/>
              <w:rPr>
                <w:rFonts w:cs="Arial"/>
                <w:color w:val="000000"/>
              </w:rPr>
            </w:pPr>
            <w:r>
              <w:rPr>
                <w:rFonts w:cs="Arial"/>
                <w:color w:val="000000"/>
              </w:rPr>
              <w:t>22,09</w:t>
            </w:r>
          </w:p>
        </w:tc>
      </w:tr>
    </w:tbl>
    <w:p>
      <w:pPr>
        <w:tabs>
          <w:tab w:val="left" w:pos="1701"/>
        </w:tabs>
        <w:spacing w:line="360" w:lineRule="auto"/>
        <w:jc w:val="both"/>
        <w:rPr>
          <w:rFonts w:cs="Arial"/>
          <w:color w:val="000000"/>
        </w:rPr>
        <w:sectPr>
          <w:type w:val="continuous"/>
          <w:pgSz w:w="16839" w:h="11907" w:orient="landscape"/>
          <w:pgMar w:top="1440" w:right="1440" w:bottom="1440" w:left="1440" w:header="720" w:footer="60" w:gutter="0"/>
          <w:cols w:space="720" w:num="1"/>
          <w:docGrid w:linePitch="360" w:charSpace="0"/>
        </w:sectPr>
      </w:pPr>
    </w:p>
    <w:p>
      <w:pPr>
        <w:tabs>
          <w:tab w:val="left" w:pos="1701"/>
        </w:tabs>
        <w:spacing w:after="0" w:line="360" w:lineRule="auto"/>
        <w:ind w:firstLine="709"/>
        <w:jc w:val="both"/>
        <w:rPr>
          <w:rFonts w:cs="Arial"/>
          <w:color w:val="000000"/>
        </w:rPr>
      </w:pPr>
    </w:p>
    <w:p>
      <w:pPr>
        <w:tabs>
          <w:tab w:val="left" w:pos="1701"/>
        </w:tabs>
        <w:spacing w:after="0" w:line="360" w:lineRule="auto"/>
        <w:ind w:firstLine="709"/>
        <w:jc w:val="both"/>
        <w:rPr>
          <w:rFonts w:cs="Arial"/>
          <w:color w:val="000000"/>
        </w:rPr>
      </w:pPr>
      <w:r>
        <w:rPr>
          <w:rFonts w:cs="Arial"/>
          <w:color w:val="000000"/>
        </w:rPr>
        <w:t xml:space="preserve">Data tabel 2.8 memperlihatkan bahwa realisasi belanja pada tahun 2009 sampai dengan tahun 2013, setiap tahunnya meningkat seiring dengan peningkatan pendapatan rumah sakit, dimana RSHS sebagai rumah sakit dengan status BLU penuh, maka seluruh pendapatan yang diterima dapat digunakan langsung untuk membiayai kegiatan sesuai tugas dan fungsi rumah sakit. </w:t>
      </w:r>
    </w:p>
    <w:p>
      <w:pPr>
        <w:tabs>
          <w:tab w:val="left" w:pos="1701"/>
        </w:tabs>
        <w:spacing w:line="360" w:lineRule="auto"/>
        <w:jc w:val="both"/>
        <w:rPr>
          <w:rFonts w:cs="Arial"/>
          <w:color w:val="000000"/>
        </w:rPr>
      </w:pPr>
      <w:r>
        <w:rPr>
          <w:rFonts w:cs="Arial"/>
          <w:color w:val="000000"/>
        </w:rPr>
        <w:t>Pada tahun 2011 terdapat peningkatan yang signifikan dari tahun 2010 sebesar 47,83%, yang disebabkan oleh:</w:t>
      </w:r>
    </w:p>
    <w:p>
      <w:pPr>
        <w:numPr>
          <w:ilvl w:val="1"/>
          <w:numId w:val="9"/>
        </w:numPr>
        <w:spacing w:line="360" w:lineRule="auto"/>
        <w:ind w:left="360"/>
        <w:contextualSpacing/>
        <w:jc w:val="both"/>
        <w:rPr>
          <w:rFonts w:cs="Arial"/>
          <w:color w:val="000000"/>
        </w:rPr>
      </w:pPr>
      <w:r>
        <w:rPr>
          <w:rFonts w:cs="Arial"/>
          <w:color w:val="000000"/>
        </w:rPr>
        <w:t>Belanja pegawai, adanya penyesuaian tunjangan yang diberikan kepada seluruh pegawai yaitu tunjangan kesejahteraan rumah sakit (TKRS).</w:t>
      </w:r>
    </w:p>
    <w:p>
      <w:pPr>
        <w:numPr>
          <w:ilvl w:val="1"/>
          <w:numId w:val="9"/>
        </w:numPr>
        <w:spacing w:line="360" w:lineRule="auto"/>
        <w:ind w:left="360"/>
        <w:contextualSpacing/>
        <w:jc w:val="both"/>
        <w:rPr>
          <w:rFonts w:cs="Arial"/>
          <w:color w:val="000000"/>
        </w:rPr>
      </w:pPr>
      <w:r>
        <w:rPr>
          <w:rFonts w:cs="Arial"/>
          <w:color w:val="000000"/>
        </w:rPr>
        <w:t>Belanja barang, secara keseluruhan daya beli di pasar meningkat, selesainya gedung rawat inap “Gedung Kemuning” dengan kapasitas tempat tidur 400 tempat tidur khusus untuk pelayanan pasien Jamkesmas dan Jamkesda, dan pelayanan satu pintu dari pelayanan farmasi, pelayanan laboratorium, nuklir, dan pemenuhan kebutuhan lainnya.</w:t>
      </w:r>
    </w:p>
    <w:p>
      <w:pPr>
        <w:numPr>
          <w:ilvl w:val="1"/>
          <w:numId w:val="9"/>
        </w:numPr>
        <w:spacing w:line="360" w:lineRule="auto"/>
        <w:ind w:left="360"/>
        <w:contextualSpacing/>
        <w:jc w:val="both"/>
        <w:rPr>
          <w:rFonts w:cs="Arial"/>
          <w:color w:val="000000"/>
        </w:rPr>
      </w:pPr>
      <w:r>
        <w:rPr>
          <w:rFonts w:cs="Arial"/>
          <w:color w:val="000000"/>
        </w:rPr>
        <w:t>Belanja Investasi, dibangun gedung pelayanan penunjang (</w:t>
      </w:r>
      <w:r>
        <w:rPr>
          <w:rFonts w:cs="Arial"/>
          <w:i/>
          <w:color w:val="000000"/>
        </w:rPr>
        <w:t>Diagnostic Center)</w:t>
      </w:r>
      <w:r>
        <w:rPr>
          <w:rFonts w:cs="Arial"/>
          <w:color w:val="000000"/>
        </w:rPr>
        <w:t>, pelayanan jantung (</w:t>
      </w:r>
      <w:r>
        <w:rPr>
          <w:rFonts w:cs="Arial"/>
          <w:i/>
          <w:color w:val="000000"/>
        </w:rPr>
        <w:t>Cadiac Center</w:t>
      </w:r>
      <w:r>
        <w:rPr>
          <w:rFonts w:cs="Arial"/>
          <w:color w:val="000000"/>
        </w:rPr>
        <w:t xml:space="preserve">), serta kebutuhan peralatanan medis maupun non-Medis yang sangat dibutuhkan dalam menunjang kelancaran pelayanan yang berkualitas. </w:t>
      </w:r>
    </w:p>
    <w:p>
      <w:pPr>
        <w:pStyle w:val="9"/>
      </w:pPr>
      <w:bookmarkStart w:id="23" w:name="_Toc430523091"/>
      <w:r>
        <w:t xml:space="preserve">Tabel 2. </w:t>
      </w:r>
      <w:r>
        <w:fldChar w:fldCharType="begin"/>
      </w:r>
      <w:r>
        <w:instrText xml:space="preserve"> SEQ Tabel_2. \* ARABIC </w:instrText>
      </w:r>
      <w:r>
        <w:fldChar w:fldCharType="separate"/>
      </w:r>
      <w:r>
        <w:t>9</w:t>
      </w:r>
      <w:r>
        <w:fldChar w:fldCharType="end"/>
      </w:r>
      <w:r>
        <w:t xml:space="preserve"> Realisasi Pendapatan dan Biaya Periode tahun 2009-2013</w:t>
      </w:r>
      <w:bookmarkEnd w:id="23"/>
    </w:p>
    <w:tbl>
      <w:tblPr>
        <w:tblStyle w:val="47"/>
        <w:tblW w:w="13973"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568"/>
        <w:gridCol w:w="3923"/>
        <w:gridCol w:w="2034"/>
        <w:gridCol w:w="1862"/>
        <w:gridCol w:w="1862"/>
        <w:gridCol w:w="1862"/>
        <w:gridCol w:w="1862"/>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blHeader/>
          <w:jc w:val="center"/>
        </w:trPr>
        <w:tc>
          <w:tcPr>
            <w:tcW w:w="568" w:type="dxa"/>
            <w:vMerge w:val="restart"/>
            <w:shd w:val="clear" w:color="auto" w:fill="ECCF74"/>
            <w:vAlign w:val="center"/>
          </w:tcPr>
          <w:p>
            <w:pPr>
              <w:spacing w:after="0" w:line="360" w:lineRule="auto"/>
              <w:jc w:val="center"/>
              <w:rPr>
                <w:b/>
                <w:color w:val="000000"/>
              </w:rPr>
            </w:pPr>
            <w:r>
              <w:rPr>
                <w:b/>
                <w:color w:val="000000"/>
              </w:rPr>
              <w:t>No.</w:t>
            </w:r>
          </w:p>
        </w:tc>
        <w:tc>
          <w:tcPr>
            <w:tcW w:w="3923" w:type="dxa"/>
            <w:vMerge w:val="restart"/>
            <w:shd w:val="clear" w:color="auto" w:fill="ECCF74"/>
            <w:vAlign w:val="center"/>
          </w:tcPr>
          <w:p>
            <w:pPr>
              <w:spacing w:after="0" w:line="360" w:lineRule="auto"/>
              <w:jc w:val="center"/>
              <w:rPr>
                <w:b/>
                <w:color w:val="000000"/>
              </w:rPr>
            </w:pPr>
            <w:r>
              <w:rPr>
                <w:b/>
                <w:color w:val="000000"/>
              </w:rPr>
              <w:t>Uraian</w:t>
            </w:r>
          </w:p>
        </w:tc>
        <w:tc>
          <w:tcPr>
            <w:tcW w:w="2034" w:type="dxa"/>
            <w:shd w:val="clear" w:color="auto" w:fill="ECCF74"/>
          </w:tcPr>
          <w:p>
            <w:pPr>
              <w:spacing w:after="0" w:line="360" w:lineRule="auto"/>
              <w:jc w:val="center"/>
              <w:rPr>
                <w:b/>
                <w:color w:val="000000"/>
              </w:rPr>
            </w:pPr>
            <w:r>
              <w:rPr>
                <w:b/>
                <w:color w:val="000000"/>
              </w:rPr>
              <w:t>2009</w:t>
            </w:r>
          </w:p>
        </w:tc>
        <w:tc>
          <w:tcPr>
            <w:tcW w:w="1862" w:type="dxa"/>
            <w:shd w:val="clear" w:color="auto" w:fill="ECCF74"/>
          </w:tcPr>
          <w:p>
            <w:pPr>
              <w:spacing w:after="0" w:line="360" w:lineRule="auto"/>
              <w:jc w:val="center"/>
              <w:rPr>
                <w:b/>
                <w:color w:val="000000"/>
              </w:rPr>
            </w:pPr>
            <w:r>
              <w:rPr>
                <w:b/>
                <w:color w:val="000000"/>
              </w:rPr>
              <w:t>2010</w:t>
            </w:r>
          </w:p>
        </w:tc>
        <w:tc>
          <w:tcPr>
            <w:tcW w:w="1862" w:type="dxa"/>
            <w:shd w:val="clear" w:color="auto" w:fill="ECCF74"/>
          </w:tcPr>
          <w:p>
            <w:pPr>
              <w:spacing w:after="0" w:line="360" w:lineRule="auto"/>
              <w:jc w:val="center"/>
              <w:rPr>
                <w:b/>
                <w:color w:val="000000"/>
              </w:rPr>
            </w:pPr>
            <w:r>
              <w:rPr>
                <w:b/>
                <w:color w:val="000000"/>
              </w:rPr>
              <w:t>2011</w:t>
            </w:r>
          </w:p>
        </w:tc>
        <w:tc>
          <w:tcPr>
            <w:tcW w:w="1862" w:type="dxa"/>
            <w:shd w:val="clear" w:color="auto" w:fill="ECCF74"/>
          </w:tcPr>
          <w:p>
            <w:pPr>
              <w:spacing w:after="0" w:line="360" w:lineRule="auto"/>
              <w:jc w:val="center"/>
              <w:rPr>
                <w:b/>
                <w:color w:val="000000"/>
              </w:rPr>
            </w:pPr>
            <w:r>
              <w:rPr>
                <w:b/>
                <w:color w:val="000000"/>
              </w:rPr>
              <w:t>2012</w:t>
            </w:r>
          </w:p>
        </w:tc>
        <w:tc>
          <w:tcPr>
            <w:tcW w:w="1862" w:type="dxa"/>
            <w:shd w:val="clear" w:color="auto" w:fill="ECCF74"/>
          </w:tcPr>
          <w:p>
            <w:pPr>
              <w:spacing w:after="0" w:line="360" w:lineRule="auto"/>
              <w:jc w:val="center"/>
              <w:rPr>
                <w:b/>
                <w:color w:val="000000"/>
              </w:rPr>
            </w:pPr>
            <w:r>
              <w:rPr>
                <w:b/>
                <w:color w:val="000000"/>
              </w:rPr>
              <w:t>2013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blHeader/>
          <w:jc w:val="center"/>
        </w:trPr>
        <w:tc>
          <w:tcPr>
            <w:tcW w:w="568" w:type="dxa"/>
            <w:vMerge w:val="continue"/>
            <w:tcBorders>
              <w:bottom w:val="single" w:color="259073" w:themeColor="accent2" w:sz="4" w:space="0"/>
            </w:tcBorders>
            <w:shd w:val="clear" w:color="auto" w:fill="ECCF74"/>
          </w:tcPr>
          <w:p>
            <w:pPr>
              <w:spacing w:after="0" w:line="360" w:lineRule="auto"/>
              <w:jc w:val="center"/>
              <w:rPr>
                <w:b/>
                <w:color w:val="000000"/>
              </w:rPr>
            </w:pPr>
          </w:p>
        </w:tc>
        <w:tc>
          <w:tcPr>
            <w:tcW w:w="3923" w:type="dxa"/>
            <w:vMerge w:val="continue"/>
            <w:tcBorders>
              <w:bottom w:val="single" w:color="259073" w:themeColor="accent2" w:sz="4" w:space="0"/>
            </w:tcBorders>
            <w:shd w:val="clear" w:color="auto" w:fill="ECCF74"/>
          </w:tcPr>
          <w:p>
            <w:pPr>
              <w:spacing w:after="0" w:line="360" w:lineRule="auto"/>
              <w:jc w:val="center"/>
              <w:rPr>
                <w:b/>
                <w:color w:val="000000"/>
              </w:rPr>
            </w:pPr>
          </w:p>
        </w:tc>
        <w:tc>
          <w:tcPr>
            <w:tcW w:w="2034" w:type="dxa"/>
            <w:tcBorders>
              <w:bottom w:val="single" w:color="259073" w:themeColor="accent2" w:sz="4" w:space="0"/>
            </w:tcBorders>
            <w:shd w:val="clear" w:color="auto" w:fill="ECCF74"/>
          </w:tcPr>
          <w:p>
            <w:pPr>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spacing w:after="0" w:line="360" w:lineRule="auto"/>
              <w:jc w:val="center"/>
              <w:rPr>
                <w:b/>
                <w:color w:val="000000"/>
              </w:rPr>
            </w:pPr>
            <w:r>
              <w:rPr>
                <w:b/>
                <w:color w:val="000000"/>
              </w:rPr>
              <w:t>Realisasi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bottom w:val="single" w:color="259073" w:themeColor="accent2" w:sz="4" w:space="0"/>
            </w:tcBorders>
            <w:shd w:val="clear" w:color="auto" w:fill="auto"/>
          </w:tcPr>
          <w:p>
            <w:pPr>
              <w:spacing w:after="0" w:line="360" w:lineRule="auto"/>
              <w:jc w:val="center"/>
              <w:rPr>
                <w:b/>
                <w:color w:val="259073" w:themeColor="accent2"/>
                <w14:textFill>
                  <w14:solidFill>
                    <w14:schemeClr w14:val="accent2"/>
                  </w14:solidFill>
                </w14:textFill>
              </w:rPr>
            </w:pPr>
            <w:r>
              <w:rPr>
                <w:b/>
                <w:color w:val="259073" w:themeColor="accent2"/>
                <w14:textFill>
                  <w14:solidFill>
                    <w14:schemeClr w14:val="accent2"/>
                  </w14:solidFill>
                </w14:textFill>
              </w:rPr>
              <w:t>I</w:t>
            </w:r>
          </w:p>
        </w:tc>
        <w:tc>
          <w:tcPr>
            <w:tcW w:w="3923" w:type="dxa"/>
            <w:tcBorders>
              <w:bottom w:val="single" w:color="259073" w:themeColor="accent2" w:sz="4" w:space="0"/>
            </w:tcBorders>
            <w:shd w:val="clear" w:color="auto" w:fill="auto"/>
          </w:tcPr>
          <w:p>
            <w:pPr>
              <w:spacing w:after="0" w:line="360" w:lineRule="auto"/>
              <w:rPr>
                <w:b/>
                <w:color w:val="259073" w:themeColor="accent2"/>
                <w14:textFill>
                  <w14:solidFill>
                    <w14:schemeClr w14:val="accent2"/>
                  </w14:solidFill>
                </w14:textFill>
              </w:rPr>
            </w:pPr>
            <w:r>
              <w:rPr>
                <w:b/>
                <w:color w:val="259073" w:themeColor="accent2"/>
                <w14:textFill>
                  <w14:solidFill>
                    <w14:schemeClr w14:val="accent2"/>
                  </w14:solidFill>
                </w14:textFill>
              </w:rPr>
              <w:t>Pendapatan</w:t>
            </w:r>
          </w:p>
        </w:tc>
        <w:tc>
          <w:tcPr>
            <w:tcW w:w="2034"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390,601,365,090</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400,610,630,596</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583,221,118,635</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686,584,540,827</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791,970,278,938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single" w:color="259073" w:themeColor="accent2" w:sz="4" w:space="0"/>
              <w:bottom w:val="nil"/>
            </w:tcBorders>
            <w:shd w:val="clear" w:color="auto" w:fill="auto"/>
          </w:tcPr>
          <w:p>
            <w:pPr>
              <w:spacing w:after="0" w:line="360" w:lineRule="auto"/>
              <w:rPr>
                <w:color w:val="000000"/>
              </w:rPr>
            </w:pPr>
            <w:r>
              <w:rPr>
                <w:color w:val="000000"/>
              </w:rPr>
              <w:t> </w:t>
            </w:r>
          </w:p>
        </w:tc>
        <w:tc>
          <w:tcPr>
            <w:tcW w:w="3923" w:type="dxa"/>
            <w:tcBorders>
              <w:top w:val="single" w:color="259073" w:themeColor="accent2" w:sz="4" w:space="0"/>
              <w:bottom w:val="single" w:color="259073" w:themeColor="accent2" w:sz="4" w:space="0"/>
            </w:tcBorders>
            <w:shd w:val="clear" w:color="auto" w:fill="auto"/>
          </w:tcPr>
          <w:p>
            <w:pPr>
              <w:spacing w:after="0" w:line="360" w:lineRule="auto"/>
              <w:rPr>
                <w:color w:val="000000"/>
              </w:rPr>
            </w:pPr>
            <w:r>
              <w:rPr>
                <w:color w:val="000000"/>
              </w:rPr>
              <w:t>PNBP</w:t>
            </w:r>
          </w:p>
        </w:tc>
        <w:tc>
          <w:tcPr>
            <w:tcW w:w="2034" w:type="dxa"/>
            <w:tcBorders>
              <w:top w:val="single" w:color="259073" w:themeColor="accent2" w:sz="4" w:space="0"/>
              <w:bottom w:val="single" w:color="259073" w:themeColor="accent2" w:sz="4" w:space="0"/>
            </w:tcBorders>
            <w:shd w:val="clear" w:color="auto" w:fill="auto"/>
          </w:tcPr>
          <w:p>
            <w:pPr>
              <w:spacing w:after="0" w:line="360" w:lineRule="auto"/>
              <w:jc w:val="right"/>
              <w:rPr>
                <w:color w:val="000000"/>
              </w:rPr>
            </w:pPr>
            <w:r>
              <w:rPr>
                <w:color w:val="000000"/>
              </w:rPr>
              <w:t>263,930,193,090</w:t>
            </w:r>
          </w:p>
        </w:tc>
        <w:tc>
          <w:tcPr>
            <w:tcW w:w="1862" w:type="dxa"/>
            <w:tcBorders>
              <w:top w:val="single" w:color="259073" w:themeColor="accent2" w:sz="4" w:space="0"/>
              <w:bottom w:val="single" w:color="259073" w:themeColor="accent2" w:sz="4" w:space="0"/>
            </w:tcBorders>
            <w:shd w:val="clear" w:color="auto" w:fill="auto"/>
          </w:tcPr>
          <w:p>
            <w:pPr>
              <w:spacing w:after="0" w:line="360" w:lineRule="auto"/>
              <w:jc w:val="right"/>
              <w:rPr>
                <w:color w:val="000000"/>
              </w:rPr>
            </w:pPr>
            <w:r>
              <w:rPr>
                <w:color w:val="000000"/>
              </w:rPr>
              <w:t>288,436,828,596</w:t>
            </w:r>
          </w:p>
        </w:tc>
        <w:tc>
          <w:tcPr>
            <w:tcW w:w="1862" w:type="dxa"/>
            <w:tcBorders>
              <w:top w:val="single" w:color="259073" w:themeColor="accent2" w:sz="4" w:space="0"/>
              <w:bottom w:val="single" w:color="259073" w:themeColor="accent2" w:sz="4" w:space="0"/>
            </w:tcBorders>
            <w:shd w:val="clear" w:color="auto" w:fill="auto"/>
          </w:tcPr>
          <w:p>
            <w:pPr>
              <w:spacing w:after="0" w:line="360" w:lineRule="auto"/>
              <w:jc w:val="right"/>
              <w:rPr>
                <w:color w:val="000000"/>
              </w:rPr>
            </w:pPr>
            <w:r>
              <w:rPr>
                <w:color w:val="000000"/>
              </w:rPr>
              <w:t>391,348,772,635</w:t>
            </w:r>
          </w:p>
        </w:tc>
        <w:tc>
          <w:tcPr>
            <w:tcW w:w="1862" w:type="dxa"/>
            <w:tcBorders>
              <w:top w:val="single" w:color="259073" w:themeColor="accent2" w:sz="4" w:space="0"/>
              <w:bottom w:val="single" w:color="259073" w:themeColor="accent2" w:sz="4" w:space="0"/>
            </w:tcBorders>
            <w:shd w:val="clear" w:color="auto" w:fill="auto"/>
          </w:tcPr>
          <w:p>
            <w:pPr>
              <w:spacing w:after="0" w:line="360" w:lineRule="auto"/>
              <w:jc w:val="right"/>
              <w:rPr>
                <w:color w:val="000000"/>
              </w:rPr>
            </w:pPr>
            <w:r>
              <w:rPr>
                <w:color w:val="000000"/>
              </w:rPr>
              <w:t>492,193,366,827</w:t>
            </w:r>
          </w:p>
        </w:tc>
        <w:tc>
          <w:tcPr>
            <w:tcW w:w="1862" w:type="dxa"/>
            <w:tcBorders>
              <w:top w:val="single" w:color="259073" w:themeColor="accent2" w:sz="4" w:space="0"/>
              <w:bottom w:val="single" w:color="259073" w:themeColor="accent2" w:sz="4" w:space="0"/>
            </w:tcBorders>
            <w:shd w:val="clear" w:color="auto" w:fill="auto"/>
          </w:tcPr>
          <w:p>
            <w:pPr>
              <w:spacing w:after="0" w:line="360" w:lineRule="auto"/>
              <w:jc w:val="right"/>
              <w:rPr>
                <w:color w:val="000000"/>
              </w:rPr>
            </w:pPr>
            <w:r>
              <w:rPr>
                <w:color w:val="000000"/>
              </w:rPr>
              <w:t>624,719,263,938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single" w:color="259073" w:themeColor="accent2" w:sz="4" w:space="0"/>
              <w:bottom w:val="nil"/>
            </w:tcBorders>
            <w:shd w:val="clear" w:color="auto" w:fill="auto"/>
          </w:tcPr>
          <w:p>
            <w:pPr>
              <w:spacing w:after="0" w:line="360" w:lineRule="auto"/>
              <w:rPr>
                <w:color w:val="000000"/>
              </w:rPr>
            </w:pPr>
            <w:r>
              <w:rPr>
                <w:color w:val="000000"/>
              </w:rPr>
              <w:t>APBN (Rupiah Murni)</w:t>
            </w:r>
          </w:p>
        </w:tc>
        <w:tc>
          <w:tcPr>
            <w:tcW w:w="2034"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126,671,172,000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112,173,802,000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191,872,346,000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194,391,174,000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167,251,015,000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a. Belanja Pegawai</w:t>
            </w:r>
          </w:p>
        </w:tc>
        <w:tc>
          <w:tcPr>
            <w:tcW w:w="2034" w:type="dxa"/>
            <w:tcBorders>
              <w:top w:val="nil"/>
              <w:bottom w:val="nil"/>
            </w:tcBorders>
            <w:shd w:val="clear" w:color="auto" w:fill="auto"/>
          </w:tcPr>
          <w:p>
            <w:pPr>
              <w:spacing w:after="0" w:line="360" w:lineRule="auto"/>
              <w:jc w:val="right"/>
              <w:rPr>
                <w:color w:val="000000"/>
              </w:rPr>
            </w:pPr>
            <w:r>
              <w:rPr>
                <w:color w:val="000000"/>
              </w:rPr>
              <w:t>85,097,719,000</w:t>
            </w:r>
          </w:p>
        </w:tc>
        <w:tc>
          <w:tcPr>
            <w:tcW w:w="1862" w:type="dxa"/>
            <w:tcBorders>
              <w:top w:val="nil"/>
              <w:bottom w:val="nil"/>
            </w:tcBorders>
            <w:shd w:val="clear" w:color="auto" w:fill="auto"/>
          </w:tcPr>
          <w:p>
            <w:pPr>
              <w:spacing w:after="0" w:line="360" w:lineRule="auto"/>
              <w:jc w:val="right"/>
              <w:rPr>
                <w:color w:val="000000"/>
              </w:rPr>
            </w:pPr>
            <w:r>
              <w:rPr>
                <w:color w:val="000000"/>
              </w:rPr>
              <w:t>89,820,177,000</w:t>
            </w:r>
          </w:p>
        </w:tc>
        <w:tc>
          <w:tcPr>
            <w:tcW w:w="1862" w:type="dxa"/>
            <w:tcBorders>
              <w:top w:val="nil"/>
              <w:bottom w:val="nil"/>
            </w:tcBorders>
            <w:shd w:val="clear" w:color="auto" w:fill="auto"/>
          </w:tcPr>
          <w:p>
            <w:pPr>
              <w:spacing w:after="0" w:line="360" w:lineRule="auto"/>
              <w:jc w:val="right"/>
              <w:rPr>
                <w:color w:val="000000"/>
              </w:rPr>
            </w:pPr>
            <w:r>
              <w:rPr>
                <w:color w:val="000000"/>
              </w:rPr>
              <w:t>100,301,081,000</w:t>
            </w:r>
          </w:p>
        </w:tc>
        <w:tc>
          <w:tcPr>
            <w:tcW w:w="1862" w:type="dxa"/>
            <w:tcBorders>
              <w:top w:val="nil"/>
              <w:bottom w:val="nil"/>
            </w:tcBorders>
            <w:shd w:val="clear" w:color="auto" w:fill="auto"/>
          </w:tcPr>
          <w:p>
            <w:pPr>
              <w:spacing w:after="0" w:line="360" w:lineRule="auto"/>
              <w:jc w:val="right"/>
              <w:rPr>
                <w:color w:val="000000"/>
              </w:rPr>
            </w:pPr>
            <w:r>
              <w:rPr>
                <w:color w:val="000000"/>
              </w:rPr>
              <w:t>117,275,719,000</w:t>
            </w:r>
          </w:p>
        </w:tc>
        <w:tc>
          <w:tcPr>
            <w:tcW w:w="1862" w:type="dxa"/>
            <w:tcBorders>
              <w:top w:val="nil"/>
              <w:bottom w:val="nil"/>
            </w:tcBorders>
            <w:shd w:val="clear" w:color="auto" w:fill="auto"/>
          </w:tcPr>
          <w:p>
            <w:pPr>
              <w:spacing w:after="0" w:line="360" w:lineRule="auto"/>
              <w:jc w:val="right"/>
              <w:rPr>
                <w:color w:val="000000"/>
              </w:rPr>
            </w:pPr>
            <w:r>
              <w:rPr>
                <w:color w:val="000000"/>
              </w:rPr>
              <w:t>120,336,529,000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b. Belanja Barang</w:t>
            </w:r>
          </w:p>
        </w:tc>
        <w:tc>
          <w:tcPr>
            <w:tcW w:w="2034" w:type="dxa"/>
            <w:tcBorders>
              <w:top w:val="nil"/>
              <w:bottom w:val="nil"/>
            </w:tcBorders>
            <w:shd w:val="clear" w:color="auto" w:fill="auto"/>
          </w:tcPr>
          <w:p>
            <w:pPr>
              <w:spacing w:after="0" w:line="360" w:lineRule="auto"/>
              <w:jc w:val="right"/>
              <w:rPr>
                <w:color w:val="000000"/>
              </w:rPr>
            </w:pPr>
            <w:r>
              <w:rPr>
                <w:color w:val="000000"/>
              </w:rPr>
              <w:t>21,573,453,000</w:t>
            </w:r>
          </w:p>
        </w:tc>
        <w:tc>
          <w:tcPr>
            <w:tcW w:w="1862" w:type="dxa"/>
            <w:tcBorders>
              <w:top w:val="nil"/>
              <w:bottom w:val="nil"/>
            </w:tcBorders>
            <w:shd w:val="clear" w:color="auto" w:fill="auto"/>
          </w:tcPr>
          <w:p>
            <w:pPr>
              <w:spacing w:after="0" w:line="360" w:lineRule="auto"/>
              <w:jc w:val="right"/>
              <w:rPr>
                <w:color w:val="000000"/>
              </w:rPr>
            </w:pPr>
            <w:r>
              <w:rPr>
                <w:color w:val="000000"/>
              </w:rPr>
              <w:t>22,353,625,000</w:t>
            </w:r>
          </w:p>
        </w:tc>
        <w:tc>
          <w:tcPr>
            <w:tcW w:w="1862" w:type="dxa"/>
            <w:tcBorders>
              <w:top w:val="nil"/>
              <w:bottom w:val="nil"/>
            </w:tcBorders>
            <w:shd w:val="clear" w:color="auto" w:fill="auto"/>
          </w:tcPr>
          <w:p>
            <w:pPr>
              <w:spacing w:after="0" w:line="360" w:lineRule="auto"/>
              <w:jc w:val="right"/>
              <w:rPr>
                <w:color w:val="000000"/>
              </w:rPr>
            </w:pPr>
            <w:r>
              <w:rPr>
                <w:color w:val="000000"/>
              </w:rPr>
              <w:t>20,721,265,000</w:t>
            </w:r>
          </w:p>
        </w:tc>
        <w:tc>
          <w:tcPr>
            <w:tcW w:w="1862" w:type="dxa"/>
            <w:tcBorders>
              <w:top w:val="nil"/>
              <w:bottom w:val="nil"/>
            </w:tcBorders>
            <w:shd w:val="clear" w:color="auto" w:fill="auto"/>
          </w:tcPr>
          <w:p>
            <w:pPr>
              <w:spacing w:after="0" w:line="360" w:lineRule="auto"/>
              <w:jc w:val="right"/>
              <w:rPr>
                <w:color w:val="000000"/>
              </w:rPr>
            </w:pPr>
            <w:r>
              <w:rPr>
                <w:color w:val="000000"/>
              </w:rPr>
              <w:t>22,115,455,000</w:t>
            </w:r>
          </w:p>
        </w:tc>
        <w:tc>
          <w:tcPr>
            <w:tcW w:w="1862" w:type="dxa"/>
            <w:tcBorders>
              <w:top w:val="nil"/>
              <w:bottom w:val="nil"/>
            </w:tcBorders>
            <w:shd w:val="clear" w:color="auto" w:fill="auto"/>
          </w:tcPr>
          <w:p>
            <w:pPr>
              <w:spacing w:after="0" w:line="360" w:lineRule="auto"/>
              <w:jc w:val="right"/>
              <w:rPr>
                <w:color w:val="000000"/>
              </w:rPr>
            </w:pPr>
            <w:r>
              <w:rPr>
                <w:color w:val="000000"/>
              </w:rPr>
              <w:t>22,115,455,000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single" w:color="259073" w:themeColor="accent2" w:sz="4" w:space="0"/>
            </w:tcBorders>
            <w:shd w:val="clear" w:color="auto" w:fill="auto"/>
          </w:tcPr>
          <w:p>
            <w:pPr>
              <w:spacing w:after="0" w:line="360" w:lineRule="auto"/>
              <w:rPr>
                <w:color w:val="000000"/>
              </w:rPr>
            </w:pPr>
            <w:r>
              <w:rPr>
                <w:color w:val="000000"/>
              </w:rPr>
              <w:t> </w:t>
            </w:r>
          </w:p>
        </w:tc>
        <w:tc>
          <w:tcPr>
            <w:tcW w:w="3923" w:type="dxa"/>
            <w:tcBorders>
              <w:top w:val="nil"/>
              <w:bottom w:val="single" w:color="259073" w:themeColor="accent2" w:sz="4" w:space="0"/>
            </w:tcBorders>
            <w:shd w:val="clear" w:color="auto" w:fill="auto"/>
          </w:tcPr>
          <w:p>
            <w:pPr>
              <w:spacing w:after="0" w:line="360" w:lineRule="auto"/>
              <w:rPr>
                <w:color w:val="000000"/>
              </w:rPr>
            </w:pPr>
            <w:r>
              <w:rPr>
                <w:color w:val="000000"/>
              </w:rPr>
              <w:t xml:space="preserve">c. Belanja Modal </w:t>
            </w:r>
          </w:p>
        </w:tc>
        <w:tc>
          <w:tcPr>
            <w:tcW w:w="2034" w:type="dxa"/>
            <w:tcBorders>
              <w:top w:val="nil"/>
              <w:bottom w:val="single" w:color="259073" w:themeColor="accent2" w:sz="4" w:space="0"/>
            </w:tcBorders>
            <w:shd w:val="clear" w:color="auto" w:fill="auto"/>
          </w:tcPr>
          <w:p>
            <w:pPr>
              <w:spacing w:after="0" w:line="360" w:lineRule="auto"/>
              <w:jc w:val="right"/>
              <w:rPr>
                <w:color w:val="000000"/>
              </w:rPr>
            </w:pPr>
            <w:r>
              <w:rPr>
                <w:color w:val="000000"/>
              </w:rPr>
              <w:t>20,000,000,000</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0</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70,850,000,000</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55,000,000,000</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24,799,031,000</w:t>
            </w:r>
          </w:p>
        </w:tc>
      </w:tr>
    </w:tbl>
    <w:p>
      <w:pPr>
        <w:keepNext/>
        <w:spacing w:line="360" w:lineRule="auto"/>
        <w:jc w:val="center"/>
        <w:rPr>
          <w:b/>
        </w:rPr>
      </w:pPr>
      <w:r>
        <w:rPr>
          <w:b/>
        </w:rPr>
        <w:t>Tabel 2.9 Realisasi Pendapatan dan Biaya Periode tahun 2009-2013 (Lanjutan)</w:t>
      </w:r>
    </w:p>
    <w:tbl>
      <w:tblPr>
        <w:tblStyle w:val="47"/>
        <w:tblW w:w="13973"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568"/>
        <w:gridCol w:w="3923"/>
        <w:gridCol w:w="2034"/>
        <w:gridCol w:w="1862"/>
        <w:gridCol w:w="1862"/>
        <w:gridCol w:w="1862"/>
        <w:gridCol w:w="1862"/>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blHeader/>
          <w:jc w:val="center"/>
        </w:trPr>
        <w:tc>
          <w:tcPr>
            <w:tcW w:w="568" w:type="dxa"/>
            <w:vMerge w:val="restart"/>
            <w:shd w:val="clear" w:color="auto" w:fill="ECCF74"/>
            <w:vAlign w:val="center"/>
          </w:tcPr>
          <w:p>
            <w:pPr>
              <w:keepNext/>
              <w:spacing w:after="0" w:line="360" w:lineRule="auto"/>
              <w:jc w:val="center"/>
              <w:rPr>
                <w:b/>
                <w:color w:val="000000"/>
              </w:rPr>
            </w:pPr>
            <w:r>
              <w:rPr>
                <w:b/>
                <w:color w:val="000000"/>
              </w:rPr>
              <w:t>No.</w:t>
            </w:r>
          </w:p>
        </w:tc>
        <w:tc>
          <w:tcPr>
            <w:tcW w:w="3923" w:type="dxa"/>
            <w:vMerge w:val="restart"/>
            <w:shd w:val="clear" w:color="auto" w:fill="ECCF74"/>
            <w:vAlign w:val="center"/>
          </w:tcPr>
          <w:p>
            <w:pPr>
              <w:keepNext/>
              <w:spacing w:after="0" w:line="360" w:lineRule="auto"/>
              <w:jc w:val="center"/>
              <w:rPr>
                <w:b/>
                <w:color w:val="000000"/>
              </w:rPr>
            </w:pPr>
            <w:r>
              <w:rPr>
                <w:b/>
                <w:color w:val="000000"/>
              </w:rPr>
              <w:t>Uraian</w:t>
            </w:r>
          </w:p>
        </w:tc>
        <w:tc>
          <w:tcPr>
            <w:tcW w:w="2034" w:type="dxa"/>
            <w:shd w:val="clear" w:color="auto" w:fill="ECCF74"/>
          </w:tcPr>
          <w:p>
            <w:pPr>
              <w:keepNext/>
              <w:spacing w:after="0" w:line="360" w:lineRule="auto"/>
              <w:jc w:val="center"/>
              <w:rPr>
                <w:b/>
                <w:color w:val="000000"/>
              </w:rPr>
            </w:pPr>
            <w:r>
              <w:rPr>
                <w:b/>
                <w:color w:val="000000"/>
              </w:rPr>
              <w:t>2009</w:t>
            </w:r>
          </w:p>
        </w:tc>
        <w:tc>
          <w:tcPr>
            <w:tcW w:w="1862" w:type="dxa"/>
            <w:shd w:val="clear" w:color="auto" w:fill="ECCF74"/>
          </w:tcPr>
          <w:p>
            <w:pPr>
              <w:keepNext/>
              <w:spacing w:after="0" w:line="360" w:lineRule="auto"/>
              <w:jc w:val="center"/>
              <w:rPr>
                <w:b/>
                <w:color w:val="000000"/>
              </w:rPr>
            </w:pPr>
            <w:r>
              <w:rPr>
                <w:b/>
                <w:color w:val="000000"/>
              </w:rPr>
              <w:t>2010</w:t>
            </w:r>
          </w:p>
        </w:tc>
        <w:tc>
          <w:tcPr>
            <w:tcW w:w="1862" w:type="dxa"/>
            <w:shd w:val="clear" w:color="auto" w:fill="ECCF74"/>
          </w:tcPr>
          <w:p>
            <w:pPr>
              <w:keepNext/>
              <w:spacing w:after="0" w:line="360" w:lineRule="auto"/>
              <w:jc w:val="center"/>
              <w:rPr>
                <w:b/>
                <w:color w:val="000000"/>
              </w:rPr>
            </w:pPr>
            <w:r>
              <w:rPr>
                <w:b/>
                <w:color w:val="000000"/>
              </w:rPr>
              <w:t>2011</w:t>
            </w:r>
          </w:p>
        </w:tc>
        <w:tc>
          <w:tcPr>
            <w:tcW w:w="1862" w:type="dxa"/>
            <w:shd w:val="clear" w:color="auto" w:fill="ECCF74"/>
          </w:tcPr>
          <w:p>
            <w:pPr>
              <w:keepNext/>
              <w:spacing w:after="0" w:line="360" w:lineRule="auto"/>
              <w:jc w:val="center"/>
              <w:rPr>
                <w:b/>
                <w:color w:val="000000"/>
              </w:rPr>
            </w:pPr>
            <w:r>
              <w:rPr>
                <w:b/>
                <w:color w:val="000000"/>
              </w:rPr>
              <w:t>2012</w:t>
            </w:r>
          </w:p>
        </w:tc>
        <w:tc>
          <w:tcPr>
            <w:tcW w:w="1862" w:type="dxa"/>
            <w:shd w:val="clear" w:color="auto" w:fill="ECCF74"/>
          </w:tcPr>
          <w:p>
            <w:pPr>
              <w:keepNext/>
              <w:spacing w:after="0" w:line="360" w:lineRule="auto"/>
              <w:jc w:val="center"/>
              <w:rPr>
                <w:b/>
                <w:color w:val="000000"/>
              </w:rPr>
            </w:pPr>
            <w:r>
              <w:rPr>
                <w:b/>
                <w:color w:val="000000"/>
              </w:rPr>
              <w:t>2013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blHeader/>
          <w:jc w:val="center"/>
        </w:trPr>
        <w:tc>
          <w:tcPr>
            <w:tcW w:w="568" w:type="dxa"/>
            <w:vMerge w:val="continue"/>
            <w:tcBorders>
              <w:bottom w:val="single" w:color="259073" w:themeColor="accent2" w:sz="4" w:space="0"/>
            </w:tcBorders>
            <w:shd w:val="clear" w:color="auto" w:fill="ECCF74"/>
          </w:tcPr>
          <w:p>
            <w:pPr>
              <w:keepNext/>
              <w:spacing w:after="0" w:line="360" w:lineRule="auto"/>
              <w:jc w:val="center"/>
              <w:rPr>
                <w:b/>
                <w:color w:val="000000"/>
              </w:rPr>
            </w:pPr>
          </w:p>
        </w:tc>
        <w:tc>
          <w:tcPr>
            <w:tcW w:w="3923" w:type="dxa"/>
            <w:vMerge w:val="continue"/>
            <w:tcBorders>
              <w:bottom w:val="single" w:color="259073" w:themeColor="accent2" w:sz="4" w:space="0"/>
            </w:tcBorders>
            <w:shd w:val="clear" w:color="auto" w:fill="ECCF74"/>
          </w:tcPr>
          <w:p>
            <w:pPr>
              <w:keepNext/>
              <w:spacing w:after="0" w:line="360" w:lineRule="auto"/>
              <w:jc w:val="center"/>
              <w:rPr>
                <w:b/>
                <w:color w:val="000000"/>
              </w:rPr>
            </w:pPr>
          </w:p>
        </w:tc>
        <w:tc>
          <w:tcPr>
            <w:tcW w:w="2034" w:type="dxa"/>
            <w:tcBorders>
              <w:bottom w:val="single" w:color="259073" w:themeColor="accent2" w:sz="4" w:space="0"/>
            </w:tcBorders>
            <w:shd w:val="clear" w:color="auto" w:fill="ECCF74"/>
          </w:tcPr>
          <w:p>
            <w:pPr>
              <w:keepNext/>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keepNext/>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keepNext/>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keepNext/>
              <w:spacing w:after="0" w:line="360" w:lineRule="auto"/>
              <w:jc w:val="center"/>
              <w:rPr>
                <w:b/>
                <w:color w:val="000000"/>
              </w:rPr>
            </w:pPr>
            <w:r>
              <w:rPr>
                <w:b/>
                <w:color w:val="000000"/>
              </w:rPr>
              <w:t>Realisasi</w:t>
            </w:r>
          </w:p>
        </w:tc>
        <w:tc>
          <w:tcPr>
            <w:tcW w:w="1862" w:type="dxa"/>
            <w:tcBorders>
              <w:bottom w:val="single" w:color="259073" w:themeColor="accent2" w:sz="4" w:space="0"/>
            </w:tcBorders>
            <w:shd w:val="clear" w:color="auto" w:fill="ECCF74"/>
          </w:tcPr>
          <w:p>
            <w:pPr>
              <w:keepNext/>
              <w:spacing w:after="0" w:line="360" w:lineRule="auto"/>
              <w:jc w:val="center"/>
              <w:rPr>
                <w:b/>
                <w:color w:val="000000"/>
              </w:rPr>
            </w:pPr>
            <w:r>
              <w:rPr>
                <w:b/>
                <w:color w:val="000000"/>
              </w:rPr>
              <w:t>Realisasi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bottom w:val="single" w:color="259073" w:themeColor="accent2" w:sz="4" w:space="0"/>
            </w:tcBorders>
            <w:shd w:val="clear" w:color="auto" w:fill="auto"/>
          </w:tcPr>
          <w:p>
            <w:pPr>
              <w:spacing w:after="0" w:line="360" w:lineRule="auto"/>
              <w:jc w:val="center"/>
              <w:rPr>
                <w:b/>
                <w:color w:val="259073" w:themeColor="accent2"/>
                <w14:textFill>
                  <w14:solidFill>
                    <w14:schemeClr w14:val="accent2"/>
                  </w14:solidFill>
                </w14:textFill>
              </w:rPr>
            </w:pPr>
            <w:r>
              <w:rPr>
                <w:b/>
                <w:color w:val="259073" w:themeColor="accent2"/>
                <w14:textFill>
                  <w14:solidFill>
                    <w14:schemeClr w14:val="accent2"/>
                  </w14:solidFill>
                </w14:textFill>
              </w:rPr>
              <w:t>II</w:t>
            </w:r>
          </w:p>
        </w:tc>
        <w:tc>
          <w:tcPr>
            <w:tcW w:w="3923" w:type="dxa"/>
            <w:tcBorders>
              <w:bottom w:val="single" w:color="259073" w:themeColor="accent2" w:sz="4" w:space="0"/>
            </w:tcBorders>
            <w:shd w:val="clear" w:color="auto" w:fill="auto"/>
          </w:tcPr>
          <w:p>
            <w:pPr>
              <w:spacing w:after="0" w:line="360" w:lineRule="auto"/>
              <w:rPr>
                <w:b/>
                <w:color w:val="259073" w:themeColor="accent2"/>
                <w14:textFill>
                  <w14:solidFill>
                    <w14:schemeClr w14:val="accent2"/>
                  </w14:solidFill>
                </w14:textFill>
              </w:rPr>
            </w:pPr>
            <w:r>
              <w:rPr>
                <w:b/>
                <w:color w:val="259073" w:themeColor="accent2"/>
                <w14:textFill>
                  <w14:solidFill>
                    <w14:schemeClr w14:val="accent2"/>
                  </w14:solidFill>
                </w14:textFill>
              </w:rPr>
              <w:t>Belanja</w:t>
            </w:r>
          </w:p>
        </w:tc>
        <w:tc>
          <w:tcPr>
            <w:tcW w:w="2034"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385,484,325,215</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375,879,546,200</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580,302,935,599</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674,901,304,030</w:t>
            </w:r>
          </w:p>
        </w:tc>
        <w:tc>
          <w:tcPr>
            <w:tcW w:w="1862" w:type="dxa"/>
            <w:tcBorders>
              <w:bottom w:val="single" w:color="259073" w:themeColor="accent2" w:sz="4" w:space="0"/>
            </w:tcBorders>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755,688,713,649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single" w:color="259073" w:themeColor="accent2" w:sz="4" w:space="0"/>
              <w:bottom w:val="nil"/>
            </w:tcBorders>
            <w:shd w:val="clear" w:color="auto" w:fill="auto"/>
          </w:tcPr>
          <w:p>
            <w:pPr>
              <w:spacing w:after="0" w:line="360" w:lineRule="auto"/>
              <w:rPr>
                <w:color w:val="000000"/>
              </w:rPr>
            </w:pPr>
            <w:r>
              <w:rPr>
                <w:color w:val="000000"/>
              </w:rPr>
              <w:t> </w:t>
            </w:r>
          </w:p>
        </w:tc>
        <w:tc>
          <w:tcPr>
            <w:tcW w:w="3923" w:type="dxa"/>
            <w:tcBorders>
              <w:top w:val="single" w:color="259073" w:themeColor="accent2" w:sz="4" w:space="0"/>
              <w:bottom w:val="nil"/>
            </w:tcBorders>
            <w:shd w:val="clear" w:color="auto" w:fill="auto"/>
          </w:tcPr>
          <w:p>
            <w:pPr>
              <w:spacing w:after="0" w:line="360" w:lineRule="auto"/>
              <w:rPr>
                <w:color w:val="000000"/>
              </w:rPr>
            </w:pPr>
            <w:r>
              <w:rPr>
                <w:color w:val="000000"/>
              </w:rPr>
              <w:t>PNBP</w:t>
            </w:r>
          </w:p>
        </w:tc>
        <w:tc>
          <w:tcPr>
            <w:tcW w:w="2034" w:type="dxa"/>
            <w:tcBorders>
              <w:top w:val="single" w:color="259073" w:themeColor="accent2" w:sz="4" w:space="0"/>
              <w:bottom w:val="nil"/>
            </w:tcBorders>
            <w:shd w:val="clear" w:color="auto" w:fill="auto"/>
          </w:tcPr>
          <w:p>
            <w:pPr>
              <w:spacing w:after="0" w:line="360" w:lineRule="auto"/>
              <w:jc w:val="right"/>
              <w:rPr>
                <w:color w:val="000000"/>
              </w:rPr>
            </w:pPr>
            <w:r>
              <w:rPr>
                <w:color w:val="000000"/>
              </w:rPr>
              <w:t>258,910,103,090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264,688,750,200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390,109,306,723</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486,980,885,065</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594,551,649,118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a. Belanja Pegawai</w:t>
            </w:r>
          </w:p>
        </w:tc>
        <w:tc>
          <w:tcPr>
            <w:tcW w:w="2034" w:type="dxa"/>
            <w:tcBorders>
              <w:top w:val="nil"/>
              <w:bottom w:val="nil"/>
            </w:tcBorders>
            <w:shd w:val="clear" w:color="auto" w:fill="auto"/>
          </w:tcPr>
          <w:p>
            <w:pPr>
              <w:spacing w:after="0" w:line="360" w:lineRule="auto"/>
              <w:jc w:val="right"/>
              <w:rPr>
                <w:color w:val="000000"/>
              </w:rPr>
            </w:pPr>
            <w:r>
              <w:rPr>
                <w:color w:val="000000"/>
              </w:rPr>
              <w:t>106,999,342,871</w:t>
            </w:r>
          </w:p>
        </w:tc>
        <w:tc>
          <w:tcPr>
            <w:tcW w:w="1862" w:type="dxa"/>
            <w:tcBorders>
              <w:top w:val="nil"/>
              <w:bottom w:val="nil"/>
            </w:tcBorders>
            <w:shd w:val="clear" w:color="auto" w:fill="auto"/>
          </w:tcPr>
          <w:p>
            <w:pPr>
              <w:spacing w:after="0" w:line="360" w:lineRule="auto"/>
              <w:jc w:val="right"/>
              <w:rPr>
                <w:color w:val="000000"/>
              </w:rPr>
            </w:pPr>
            <w:r>
              <w:rPr>
                <w:color w:val="000000"/>
              </w:rPr>
              <w:t>112,221,099,098</w:t>
            </w:r>
          </w:p>
        </w:tc>
        <w:tc>
          <w:tcPr>
            <w:tcW w:w="1862" w:type="dxa"/>
            <w:tcBorders>
              <w:top w:val="nil"/>
              <w:bottom w:val="nil"/>
            </w:tcBorders>
            <w:shd w:val="clear" w:color="auto" w:fill="auto"/>
          </w:tcPr>
          <w:p>
            <w:pPr>
              <w:spacing w:after="0" w:line="360" w:lineRule="auto"/>
              <w:jc w:val="right"/>
              <w:rPr>
                <w:color w:val="000000"/>
              </w:rPr>
            </w:pPr>
            <w:r>
              <w:rPr>
                <w:color w:val="000000"/>
              </w:rPr>
              <w:t>135,688,236,083</w:t>
            </w:r>
          </w:p>
        </w:tc>
        <w:tc>
          <w:tcPr>
            <w:tcW w:w="1862" w:type="dxa"/>
            <w:tcBorders>
              <w:top w:val="nil"/>
              <w:bottom w:val="nil"/>
            </w:tcBorders>
            <w:shd w:val="clear" w:color="auto" w:fill="auto"/>
          </w:tcPr>
          <w:p>
            <w:pPr>
              <w:spacing w:after="0" w:line="360" w:lineRule="auto"/>
              <w:jc w:val="right"/>
              <w:rPr>
                <w:color w:val="000000"/>
              </w:rPr>
            </w:pPr>
            <w:r>
              <w:rPr>
                <w:color w:val="000000"/>
              </w:rPr>
              <w:t>179,515,499,745</w:t>
            </w:r>
          </w:p>
        </w:tc>
        <w:tc>
          <w:tcPr>
            <w:tcW w:w="1862" w:type="dxa"/>
            <w:tcBorders>
              <w:top w:val="nil"/>
              <w:bottom w:val="nil"/>
            </w:tcBorders>
            <w:shd w:val="clear" w:color="auto" w:fill="auto"/>
          </w:tcPr>
          <w:p>
            <w:pPr>
              <w:spacing w:after="0" w:line="360" w:lineRule="auto"/>
              <w:jc w:val="right"/>
              <w:rPr>
                <w:color w:val="000000"/>
              </w:rPr>
            </w:pPr>
            <w:r>
              <w:rPr>
                <w:color w:val="000000"/>
              </w:rPr>
              <w:t>196,079,348,058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b. Belanja Barang</w:t>
            </w:r>
          </w:p>
        </w:tc>
        <w:tc>
          <w:tcPr>
            <w:tcW w:w="2034" w:type="dxa"/>
            <w:tcBorders>
              <w:top w:val="nil"/>
              <w:bottom w:val="nil"/>
            </w:tcBorders>
            <w:shd w:val="clear" w:color="auto" w:fill="auto"/>
          </w:tcPr>
          <w:p>
            <w:pPr>
              <w:spacing w:after="0" w:line="360" w:lineRule="auto"/>
              <w:jc w:val="right"/>
              <w:rPr>
                <w:color w:val="000000"/>
              </w:rPr>
            </w:pPr>
            <w:r>
              <w:rPr>
                <w:color w:val="000000"/>
              </w:rPr>
              <w:t>133,120,864,466</w:t>
            </w:r>
          </w:p>
        </w:tc>
        <w:tc>
          <w:tcPr>
            <w:tcW w:w="1862" w:type="dxa"/>
            <w:tcBorders>
              <w:top w:val="nil"/>
              <w:bottom w:val="nil"/>
            </w:tcBorders>
            <w:shd w:val="clear" w:color="auto" w:fill="auto"/>
          </w:tcPr>
          <w:p>
            <w:pPr>
              <w:spacing w:after="0" w:line="360" w:lineRule="auto"/>
              <w:jc w:val="right"/>
              <w:rPr>
                <w:color w:val="000000"/>
              </w:rPr>
            </w:pPr>
            <w:r>
              <w:rPr>
                <w:color w:val="000000"/>
              </w:rPr>
              <w:t>144,151,131,780</w:t>
            </w:r>
          </w:p>
        </w:tc>
        <w:tc>
          <w:tcPr>
            <w:tcW w:w="1862" w:type="dxa"/>
            <w:tcBorders>
              <w:top w:val="nil"/>
              <w:bottom w:val="nil"/>
            </w:tcBorders>
            <w:shd w:val="clear" w:color="auto" w:fill="auto"/>
          </w:tcPr>
          <w:p>
            <w:pPr>
              <w:spacing w:after="0" w:line="360" w:lineRule="auto"/>
              <w:jc w:val="right"/>
              <w:rPr>
                <w:color w:val="000000"/>
              </w:rPr>
            </w:pPr>
            <w:r>
              <w:rPr>
                <w:color w:val="000000"/>
              </w:rPr>
              <w:t>232,039,117,465</w:t>
            </w:r>
          </w:p>
        </w:tc>
        <w:tc>
          <w:tcPr>
            <w:tcW w:w="1862" w:type="dxa"/>
            <w:tcBorders>
              <w:top w:val="nil"/>
              <w:bottom w:val="nil"/>
            </w:tcBorders>
            <w:shd w:val="clear" w:color="auto" w:fill="auto"/>
          </w:tcPr>
          <w:p>
            <w:pPr>
              <w:spacing w:after="0" w:line="360" w:lineRule="auto"/>
              <w:jc w:val="right"/>
              <w:rPr>
                <w:color w:val="000000"/>
              </w:rPr>
            </w:pPr>
            <w:r>
              <w:rPr>
                <w:color w:val="000000"/>
              </w:rPr>
              <w:t>288,639,529,453</w:t>
            </w:r>
          </w:p>
        </w:tc>
        <w:tc>
          <w:tcPr>
            <w:tcW w:w="1862" w:type="dxa"/>
            <w:tcBorders>
              <w:top w:val="nil"/>
              <w:bottom w:val="nil"/>
            </w:tcBorders>
            <w:shd w:val="clear" w:color="auto" w:fill="auto"/>
          </w:tcPr>
          <w:p>
            <w:pPr>
              <w:spacing w:after="0" w:line="360" w:lineRule="auto"/>
              <w:jc w:val="right"/>
              <w:rPr>
                <w:color w:val="000000"/>
              </w:rPr>
            </w:pPr>
            <w:r>
              <w:rPr>
                <w:color w:val="000000"/>
              </w:rPr>
              <w:t>339,439,832,550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single" w:color="259073" w:themeColor="accent2" w:sz="4" w:space="0"/>
            </w:tcBorders>
            <w:shd w:val="clear" w:color="auto" w:fill="auto"/>
          </w:tcPr>
          <w:p>
            <w:pPr>
              <w:spacing w:after="0" w:line="360" w:lineRule="auto"/>
              <w:rPr>
                <w:color w:val="000000"/>
              </w:rPr>
            </w:pPr>
            <w:r>
              <w:rPr>
                <w:color w:val="000000"/>
              </w:rPr>
              <w:t xml:space="preserve">c. Belanja Modal </w:t>
            </w:r>
          </w:p>
        </w:tc>
        <w:tc>
          <w:tcPr>
            <w:tcW w:w="2034" w:type="dxa"/>
            <w:tcBorders>
              <w:top w:val="nil"/>
              <w:bottom w:val="single" w:color="259073" w:themeColor="accent2" w:sz="4" w:space="0"/>
            </w:tcBorders>
            <w:shd w:val="clear" w:color="auto" w:fill="auto"/>
          </w:tcPr>
          <w:p>
            <w:pPr>
              <w:spacing w:after="0" w:line="360" w:lineRule="auto"/>
              <w:jc w:val="right"/>
              <w:rPr>
                <w:color w:val="000000"/>
              </w:rPr>
            </w:pPr>
            <w:r>
              <w:rPr>
                <w:color w:val="000000"/>
              </w:rPr>
              <w:t>18,789,895,753</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8,316,519,322</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22,381,953,175</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18,825,855,867</w:t>
            </w:r>
          </w:p>
        </w:tc>
        <w:tc>
          <w:tcPr>
            <w:tcW w:w="1862" w:type="dxa"/>
            <w:tcBorders>
              <w:top w:val="nil"/>
              <w:bottom w:val="single" w:color="259073" w:themeColor="accent2" w:sz="4" w:space="0"/>
            </w:tcBorders>
            <w:shd w:val="clear" w:color="auto" w:fill="auto"/>
          </w:tcPr>
          <w:p>
            <w:pPr>
              <w:spacing w:after="0" w:line="360" w:lineRule="auto"/>
              <w:jc w:val="right"/>
              <w:rPr>
                <w:color w:val="000000"/>
              </w:rPr>
            </w:pPr>
            <w:r>
              <w:rPr>
                <w:color w:val="000000"/>
              </w:rPr>
              <w:t>59,032,468,510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single" w:color="259073" w:themeColor="accent2" w:sz="4" w:space="0"/>
              <w:bottom w:val="nil"/>
            </w:tcBorders>
            <w:shd w:val="clear" w:color="auto" w:fill="auto"/>
          </w:tcPr>
          <w:p>
            <w:pPr>
              <w:spacing w:after="0" w:line="360" w:lineRule="auto"/>
              <w:rPr>
                <w:color w:val="000000"/>
              </w:rPr>
            </w:pPr>
            <w:r>
              <w:rPr>
                <w:color w:val="000000"/>
              </w:rPr>
              <w:t>APBN (Rupiah Murni)</w:t>
            </w:r>
          </w:p>
        </w:tc>
        <w:tc>
          <w:tcPr>
            <w:tcW w:w="2034"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126,574,222,125</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111,190,796,000</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190,193,628,876</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187,920,418,965</w:t>
            </w:r>
          </w:p>
        </w:tc>
        <w:tc>
          <w:tcPr>
            <w:tcW w:w="1862" w:type="dxa"/>
            <w:tcBorders>
              <w:top w:val="single" w:color="259073" w:themeColor="accent2" w:sz="4" w:space="0"/>
              <w:bottom w:val="nil"/>
            </w:tcBorders>
            <w:shd w:val="clear" w:color="auto" w:fill="auto"/>
          </w:tcPr>
          <w:p>
            <w:pPr>
              <w:spacing w:after="0" w:line="360" w:lineRule="auto"/>
              <w:jc w:val="right"/>
              <w:rPr>
                <w:color w:val="000000"/>
              </w:rPr>
            </w:pPr>
            <w:r>
              <w:rPr>
                <w:color w:val="000000"/>
              </w:rPr>
              <w:t>161,137,064,531</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a. Belanja Pegawai</w:t>
            </w:r>
          </w:p>
        </w:tc>
        <w:tc>
          <w:tcPr>
            <w:tcW w:w="2034" w:type="dxa"/>
            <w:tcBorders>
              <w:top w:val="nil"/>
              <w:bottom w:val="nil"/>
            </w:tcBorders>
            <w:shd w:val="clear" w:color="auto" w:fill="auto"/>
          </w:tcPr>
          <w:p>
            <w:pPr>
              <w:spacing w:after="0" w:line="360" w:lineRule="auto"/>
              <w:jc w:val="right"/>
              <w:rPr>
                <w:color w:val="000000"/>
              </w:rPr>
            </w:pPr>
            <w:r>
              <w:rPr>
                <w:color w:val="000000"/>
              </w:rPr>
              <w:t>85,097,719,464</w:t>
            </w:r>
          </w:p>
        </w:tc>
        <w:tc>
          <w:tcPr>
            <w:tcW w:w="1862" w:type="dxa"/>
            <w:tcBorders>
              <w:top w:val="nil"/>
              <w:bottom w:val="nil"/>
            </w:tcBorders>
            <w:shd w:val="clear" w:color="auto" w:fill="auto"/>
          </w:tcPr>
          <w:p>
            <w:pPr>
              <w:spacing w:after="0" w:line="360" w:lineRule="auto"/>
              <w:jc w:val="right"/>
              <w:rPr>
                <w:color w:val="000000"/>
              </w:rPr>
            </w:pPr>
            <w:r>
              <w:rPr>
                <w:color w:val="000000"/>
              </w:rPr>
              <w:t>89,820,177,417</w:t>
            </w:r>
          </w:p>
        </w:tc>
        <w:tc>
          <w:tcPr>
            <w:tcW w:w="1862" w:type="dxa"/>
            <w:tcBorders>
              <w:top w:val="nil"/>
              <w:bottom w:val="nil"/>
            </w:tcBorders>
            <w:shd w:val="clear" w:color="auto" w:fill="auto"/>
          </w:tcPr>
          <w:p>
            <w:pPr>
              <w:spacing w:after="0" w:line="360" w:lineRule="auto"/>
              <w:jc w:val="right"/>
              <w:rPr>
                <w:color w:val="000000"/>
              </w:rPr>
            </w:pPr>
            <w:r>
              <w:rPr>
                <w:color w:val="000000"/>
              </w:rPr>
              <w:t>96,104,600,301</w:t>
            </w:r>
          </w:p>
        </w:tc>
        <w:tc>
          <w:tcPr>
            <w:tcW w:w="1862" w:type="dxa"/>
            <w:tcBorders>
              <w:top w:val="nil"/>
              <w:bottom w:val="nil"/>
            </w:tcBorders>
            <w:shd w:val="clear" w:color="auto" w:fill="auto"/>
          </w:tcPr>
          <w:p>
            <w:pPr>
              <w:spacing w:after="0" w:line="360" w:lineRule="auto"/>
              <w:jc w:val="right"/>
              <w:rPr>
                <w:color w:val="000000"/>
              </w:rPr>
            </w:pPr>
            <w:r>
              <w:rPr>
                <w:color w:val="000000"/>
              </w:rPr>
              <w:t>111,279,813,447</w:t>
            </w:r>
          </w:p>
        </w:tc>
        <w:tc>
          <w:tcPr>
            <w:tcW w:w="1862" w:type="dxa"/>
            <w:tcBorders>
              <w:top w:val="nil"/>
              <w:bottom w:val="nil"/>
            </w:tcBorders>
            <w:shd w:val="clear" w:color="auto" w:fill="auto"/>
          </w:tcPr>
          <w:p>
            <w:pPr>
              <w:spacing w:after="0" w:line="360" w:lineRule="auto"/>
              <w:jc w:val="right"/>
              <w:rPr>
                <w:color w:val="000000"/>
              </w:rPr>
            </w:pPr>
            <w:r>
              <w:rPr>
                <w:color w:val="000000"/>
              </w:rPr>
              <w:t>119,188,550,710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bottom w:val="nil"/>
            </w:tcBorders>
            <w:shd w:val="clear" w:color="auto" w:fill="auto"/>
          </w:tcPr>
          <w:p>
            <w:pPr>
              <w:spacing w:after="0" w:line="360" w:lineRule="auto"/>
              <w:rPr>
                <w:color w:val="000000"/>
              </w:rPr>
            </w:pPr>
            <w:r>
              <w:rPr>
                <w:color w:val="000000"/>
              </w:rPr>
              <w:t> </w:t>
            </w:r>
          </w:p>
        </w:tc>
        <w:tc>
          <w:tcPr>
            <w:tcW w:w="3923" w:type="dxa"/>
            <w:tcBorders>
              <w:top w:val="nil"/>
              <w:bottom w:val="nil"/>
            </w:tcBorders>
            <w:shd w:val="clear" w:color="auto" w:fill="auto"/>
          </w:tcPr>
          <w:p>
            <w:pPr>
              <w:spacing w:after="0" w:line="360" w:lineRule="auto"/>
              <w:rPr>
                <w:color w:val="000000"/>
              </w:rPr>
            </w:pPr>
            <w:r>
              <w:rPr>
                <w:color w:val="000000"/>
              </w:rPr>
              <w:t>b. Belanja Barang</w:t>
            </w:r>
          </w:p>
        </w:tc>
        <w:tc>
          <w:tcPr>
            <w:tcW w:w="2034" w:type="dxa"/>
            <w:tcBorders>
              <w:top w:val="nil"/>
              <w:bottom w:val="nil"/>
            </w:tcBorders>
            <w:shd w:val="clear" w:color="auto" w:fill="auto"/>
          </w:tcPr>
          <w:p>
            <w:pPr>
              <w:spacing w:after="0" w:line="360" w:lineRule="auto"/>
              <w:jc w:val="right"/>
              <w:rPr>
                <w:color w:val="000000"/>
              </w:rPr>
            </w:pPr>
            <w:r>
              <w:rPr>
                <w:color w:val="000000"/>
              </w:rPr>
              <w:t>21,573,452,536</w:t>
            </w:r>
          </w:p>
        </w:tc>
        <w:tc>
          <w:tcPr>
            <w:tcW w:w="1862" w:type="dxa"/>
            <w:tcBorders>
              <w:top w:val="nil"/>
              <w:bottom w:val="nil"/>
            </w:tcBorders>
            <w:shd w:val="clear" w:color="auto" w:fill="auto"/>
          </w:tcPr>
          <w:p>
            <w:pPr>
              <w:spacing w:after="0" w:line="360" w:lineRule="auto"/>
              <w:jc w:val="right"/>
              <w:rPr>
                <w:color w:val="000000"/>
              </w:rPr>
            </w:pPr>
            <w:r>
              <w:rPr>
                <w:color w:val="000000"/>
              </w:rPr>
              <w:t>21,370,618,583</w:t>
            </w:r>
          </w:p>
        </w:tc>
        <w:tc>
          <w:tcPr>
            <w:tcW w:w="1862" w:type="dxa"/>
            <w:tcBorders>
              <w:top w:val="nil"/>
              <w:bottom w:val="nil"/>
            </w:tcBorders>
            <w:shd w:val="clear" w:color="auto" w:fill="auto"/>
          </w:tcPr>
          <w:p>
            <w:pPr>
              <w:spacing w:after="0" w:line="360" w:lineRule="auto"/>
              <w:jc w:val="right"/>
              <w:rPr>
                <w:color w:val="000000"/>
              </w:rPr>
            </w:pPr>
            <w:r>
              <w:rPr>
                <w:color w:val="000000"/>
              </w:rPr>
              <w:t>24,704,038,475</w:t>
            </w:r>
          </w:p>
        </w:tc>
        <w:tc>
          <w:tcPr>
            <w:tcW w:w="1862" w:type="dxa"/>
            <w:tcBorders>
              <w:top w:val="nil"/>
              <w:bottom w:val="nil"/>
            </w:tcBorders>
            <w:shd w:val="clear" w:color="auto" w:fill="auto"/>
          </w:tcPr>
          <w:p>
            <w:pPr>
              <w:spacing w:after="0" w:line="360" w:lineRule="auto"/>
              <w:jc w:val="right"/>
              <w:rPr>
                <w:color w:val="000000"/>
              </w:rPr>
            </w:pPr>
            <w:r>
              <w:rPr>
                <w:color w:val="000000"/>
              </w:rPr>
              <w:t>21,815,623,518</w:t>
            </w:r>
          </w:p>
        </w:tc>
        <w:tc>
          <w:tcPr>
            <w:tcW w:w="1862" w:type="dxa"/>
            <w:tcBorders>
              <w:top w:val="nil"/>
              <w:bottom w:val="nil"/>
            </w:tcBorders>
            <w:shd w:val="clear" w:color="auto" w:fill="auto"/>
          </w:tcPr>
          <w:p>
            <w:pPr>
              <w:spacing w:after="0" w:line="360" w:lineRule="auto"/>
              <w:jc w:val="right"/>
              <w:rPr>
                <w:color w:val="000000"/>
              </w:rPr>
            </w:pPr>
            <w:r>
              <w:rPr>
                <w:color w:val="000000"/>
              </w:rPr>
              <w:t>21,759,453,122</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tcBorders>
              <w:top w:val="nil"/>
            </w:tcBorders>
            <w:shd w:val="clear" w:color="auto" w:fill="auto"/>
          </w:tcPr>
          <w:p>
            <w:pPr>
              <w:spacing w:after="0" w:line="360" w:lineRule="auto"/>
              <w:rPr>
                <w:color w:val="000000"/>
              </w:rPr>
            </w:pPr>
            <w:r>
              <w:rPr>
                <w:color w:val="000000"/>
              </w:rPr>
              <w:t> </w:t>
            </w:r>
          </w:p>
        </w:tc>
        <w:tc>
          <w:tcPr>
            <w:tcW w:w="3923" w:type="dxa"/>
            <w:tcBorders>
              <w:top w:val="nil"/>
            </w:tcBorders>
            <w:shd w:val="clear" w:color="auto" w:fill="auto"/>
          </w:tcPr>
          <w:p>
            <w:pPr>
              <w:spacing w:after="0" w:line="360" w:lineRule="auto"/>
              <w:rPr>
                <w:color w:val="000000"/>
              </w:rPr>
            </w:pPr>
            <w:r>
              <w:rPr>
                <w:color w:val="000000"/>
              </w:rPr>
              <w:t xml:space="preserve">c. Belanja Modal </w:t>
            </w:r>
          </w:p>
        </w:tc>
        <w:tc>
          <w:tcPr>
            <w:tcW w:w="2034" w:type="dxa"/>
            <w:tcBorders>
              <w:top w:val="nil"/>
            </w:tcBorders>
            <w:shd w:val="clear" w:color="auto" w:fill="auto"/>
          </w:tcPr>
          <w:p>
            <w:pPr>
              <w:spacing w:after="0" w:line="360" w:lineRule="auto"/>
              <w:jc w:val="right"/>
              <w:rPr>
                <w:color w:val="000000"/>
              </w:rPr>
            </w:pPr>
            <w:r>
              <w:rPr>
                <w:color w:val="000000"/>
              </w:rPr>
              <w:t>19,903,050,125</w:t>
            </w:r>
          </w:p>
        </w:tc>
        <w:tc>
          <w:tcPr>
            <w:tcW w:w="1862" w:type="dxa"/>
            <w:tcBorders>
              <w:top w:val="nil"/>
            </w:tcBorders>
            <w:shd w:val="clear" w:color="auto" w:fill="auto"/>
          </w:tcPr>
          <w:p>
            <w:pPr>
              <w:spacing w:after="0" w:line="360" w:lineRule="auto"/>
              <w:jc w:val="right"/>
              <w:rPr>
                <w:color w:val="000000"/>
              </w:rPr>
            </w:pPr>
            <w:r>
              <w:rPr>
                <w:color w:val="000000"/>
              </w:rPr>
              <w:t>0</w:t>
            </w:r>
          </w:p>
        </w:tc>
        <w:tc>
          <w:tcPr>
            <w:tcW w:w="1862" w:type="dxa"/>
            <w:tcBorders>
              <w:top w:val="nil"/>
            </w:tcBorders>
            <w:shd w:val="clear" w:color="auto" w:fill="auto"/>
          </w:tcPr>
          <w:p>
            <w:pPr>
              <w:spacing w:after="0" w:line="360" w:lineRule="auto"/>
              <w:jc w:val="right"/>
              <w:rPr>
                <w:color w:val="000000"/>
              </w:rPr>
            </w:pPr>
            <w:r>
              <w:rPr>
                <w:color w:val="000000"/>
              </w:rPr>
              <w:t>69,384,990,100</w:t>
            </w:r>
          </w:p>
        </w:tc>
        <w:tc>
          <w:tcPr>
            <w:tcW w:w="1862" w:type="dxa"/>
            <w:tcBorders>
              <w:top w:val="nil"/>
            </w:tcBorders>
            <w:shd w:val="clear" w:color="auto" w:fill="auto"/>
          </w:tcPr>
          <w:p>
            <w:pPr>
              <w:spacing w:after="0" w:line="360" w:lineRule="auto"/>
              <w:jc w:val="right"/>
              <w:rPr>
                <w:color w:val="000000"/>
              </w:rPr>
            </w:pPr>
            <w:r>
              <w:rPr>
                <w:color w:val="000000"/>
              </w:rPr>
              <w:t>54,824,982,000</w:t>
            </w:r>
          </w:p>
        </w:tc>
        <w:tc>
          <w:tcPr>
            <w:tcW w:w="1862" w:type="dxa"/>
            <w:tcBorders>
              <w:top w:val="nil"/>
            </w:tcBorders>
            <w:shd w:val="clear" w:color="auto" w:fill="auto"/>
          </w:tcPr>
          <w:p>
            <w:pPr>
              <w:spacing w:after="0" w:line="360" w:lineRule="auto"/>
              <w:jc w:val="right"/>
              <w:rPr>
                <w:color w:val="000000"/>
              </w:rPr>
            </w:pPr>
            <w:r>
              <w:rPr>
                <w:color w:val="000000"/>
              </w:rPr>
              <w:t>20,189,060,699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153" w:hRule="atLeast"/>
          <w:jc w:val="center"/>
        </w:trPr>
        <w:tc>
          <w:tcPr>
            <w:tcW w:w="568" w:type="dxa"/>
            <w:shd w:val="clear" w:color="auto" w:fill="auto"/>
          </w:tcPr>
          <w:p>
            <w:pPr>
              <w:spacing w:after="0" w:line="360" w:lineRule="auto"/>
              <w:jc w:val="center"/>
              <w:rPr>
                <w:b/>
                <w:color w:val="259073" w:themeColor="accent2"/>
                <w14:textFill>
                  <w14:solidFill>
                    <w14:schemeClr w14:val="accent2"/>
                  </w14:solidFill>
                </w14:textFill>
              </w:rPr>
            </w:pPr>
            <w:r>
              <w:rPr>
                <w:b/>
                <w:color w:val="259073" w:themeColor="accent2"/>
                <w14:textFill>
                  <w14:solidFill>
                    <w14:schemeClr w14:val="accent2"/>
                  </w14:solidFill>
                </w14:textFill>
              </w:rPr>
              <w:t>III</w:t>
            </w:r>
          </w:p>
        </w:tc>
        <w:tc>
          <w:tcPr>
            <w:tcW w:w="3923" w:type="dxa"/>
            <w:shd w:val="clear" w:color="auto" w:fill="auto"/>
          </w:tcPr>
          <w:p>
            <w:pPr>
              <w:spacing w:after="0" w:line="360" w:lineRule="auto"/>
              <w:rPr>
                <w:b/>
                <w:color w:val="259073" w:themeColor="accent2"/>
                <w14:textFill>
                  <w14:solidFill>
                    <w14:schemeClr w14:val="accent2"/>
                  </w14:solidFill>
                </w14:textFill>
              </w:rPr>
            </w:pPr>
            <w:r>
              <w:rPr>
                <w:b/>
                <w:color w:val="259073" w:themeColor="accent2"/>
                <w14:textFill>
                  <w14:solidFill>
                    <w14:schemeClr w14:val="accent2"/>
                  </w14:solidFill>
                </w14:textFill>
              </w:rPr>
              <w:t>Surplus (Pendapatan PNBP-Belanja PNBP)</w:t>
            </w:r>
          </w:p>
        </w:tc>
        <w:tc>
          <w:tcPr>
            <w:tcW w:w="2034" w:type="dxa"/>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5,117,039,875</w:t>
            </w:r>
          </w:p>
        </w:tc>
        <w:tc>
          <w:tcPr>
            <w:tcW w:w="1862" w:type="dxa"/>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24,731,084,396</w:t>
            </w:r>
          </w:p>
        </w:tc>
        <w:tc>
          <w:tcPr>
            <w:tcW w:w="1862" w:type="dxa"/>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2,918,183,036</w:t>
            </w:r>
          </w:p>
        </w:tc>
        <w:tc>
          <w:tcPr>
            <w:tcW w:w="1862" w:type="dxa"/>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11,683,236,797</w:t>
            </w:r>
          </w:p>
        </w:tc>
        <w:tc>
          <w:tcPr>
            <w:tcW w:w="1862" w:type="dxa"/>
            <w:shd w:val="clear" w:color="auto" w:fill="auto"/>
          </w:tcPr>
          <w:p>
            <w:pPr>
              <w:spacing w:after="0" w:line="360" w:lineRule="auto"/>
              <w:jc w:val="right"/>
              <w:rPr>
                <w:b/>
                <w:color w:val="259073" w:themeColor="accent2"/>
                <w14:textFill>
                  <w14:solidFill>
                    <w14:schemeClr w14:val="accent2"/>
                  </w14:solidFill>
                </w14:textFill>
              </w:rPr>
            </w:pPr>
            <w:r>
              <w:rPr>
                <w:b/>
                <w:color w:val="259073" w:themeColor="accent2"/>
                <w14:textFill>
                  <w14:solidFill>
                    <w14:schemeClr w14:val="accent2"/>
                  </w14:solidFill>
                </w14:textFill>
              </w:rPr>
              <w:t>36,281,565,289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shd w:val="clear" w:color="auto" w:fill="auto"/>
          </w:tcPr>
          <w:p>
            <w:pPr>
              <w:spacing w:after="0" w:line="360" w:lineRule="auto"/>
              <w:rPr>
                <w:color w:val="000000"/>
              </w:rPr>
            </w:pPr>
            <w:r>
              <w:rPr>
                <w:color w:val="000000"/>
              </w:rPr>
              <w:t> </w:t>
            </w:r>
          </w:p>
        </w:tc>
        <w:tc>
          <w:tcPr>
            <w:tcW w:w="3923" w:type="dxa"/>
            <w:shd w:val="clear" w:color="auto" w:fill="auto"/>
          </w:tcPr>
          <w:p>
            <w:pPr>
              <w:spacing w:after="0" w:line="360" w:lineRule="auto"/>
              <w:rPr>
                <w:color w:val="000000"/>
              </w:rPr>
            </w:pPr>
            <w:r>
              <w:rPr>
                <w:color w:val="000000"/>
              </w:rPr>
              <w:t>PNBP</w:t>
            </w:r>
          </w:p>
        </w:tc>
        <w:tc>
          <w:tcPr>
            <w:tcW w:w="2034" w:type="dxa"/>
            <w:shd w:val="clear" w:color="auto" w:fill="auto"/>
          </w:tcPr>
          <w:p>
            <w:pPr>
              <w:spacing w:after="0" w:line="360" w:lineRule="auto"/>
              <w:jc w:val="right"/>
              <w:rPr>
                <w:color w:val="000000"/>
              </w:rPr>
            </w:pPr>
            <w:r>
              <w:rPr>
                <w:color w:val="000000"/>
              </w:rPr>
              <w:t>5,020,090,000</w:t>
            </w:r>
          </w:p>
        </w:tc>
        <w:tc>
          <w:tcPr>
            <w:tcW w:w="1862" w:type="dxa"/>
            <w:shd w:val="clear" w:color="auto" w:fill="auto"/>
          </w:tcPr>
          <w:p>
            <w:pPr>
              <w:spacing w:after="0" w:line="360" w:lineRule="auto"/>
              <w:jc w:val="right"/>
              <w:rPr>
                <w:color w:val="000000"/>
              </w:rPr>
            </w:pPr>
            <w:r>
              <w:rPr>
                <w:color w:val="000000"/>
              </w:rPr>
              <w:t>23,748,078,396</w:t>
            </w:r>
          </w:p>
        </w:tc>
        <w:tc>
          <w:tcPr>
            <w:tcW w:w="1862" w:type="dxa"/>
            <w:shd w:val="clear" w:color="auto" w:fill="auto"/>
          </w:tcPr>
          <w:p>
            <w:pPr>
              <w:spacing w:after="0" w:line="360" w:lineRule="auto"/>
              <w:jc w:val="right"/>
              <w:rPr>
                <w:color w:val="000000"/>
              </w:rPr>
            </w:pPr>
            <w:r>
              <w:rPr>
                <w:color w:val="000000"/>
              </w:rPr>
              <w:t>1,239,465,912</w:t>
            </w:r>
          </w:p>
        </w:tc>
        <w:tc>
          <w:tcPr>
            <w:tcW w:w="1862" w:type="dxa"/>
            <w:shd w:val="clear" w:color="auto" w:fill="auto"/>
          </w:tcPr>
          <w:p>
            <w:pPr>
              <w:spacing w:after="0" w:line="360" w:lineRule="auto"/>
              <w:jc w:val="right"/>
              <w:rPr>
                <w:color w:val="000000"/>
              </w:rPr>
            </w:pPr>
            <w:r>
              <w:rPr>
                <w:color w:val="000000"/>
              </w:rPr>
              <w:t>5,212,481,762</w:t>
            </w:r>
          </w:p>
        </w:tc>
        <w:tc>
          <w:tcPr>
            <w:tcW w:w="1862" w:type="dxa"/>
            <w:shd w:val="clear" w:color="auto" w:fill="auto"/>
          </w:tcPr>
          <w:p>
            <w:pPr>
              <w:spacing w:after="0" w:line="360" w:lineRule="auto"/>
              <w:jc w:val="right"/>
              <w:rPr>
                <w:color w:val="000000"/>
              </w:rPr>
            </w:pPr>
            <w:r>
              <w:rPr>
                <w:color w:val="000000"/>
              </w:rPr>
              <w:t>30,167,614,820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jc w:val="center"/>
        </w:trPr>
        <w:tc>
          <w:tcPr>
            <w:tcW w:w="568" w:type="dxa"/>
            <w:shd w:val="clear" w:color="auto" w:fill="auto"/>
          </w:tcPr>
          <w:p>
            <w:pPr>
              <w:spacing w:after="0" w:line="360" w:lineRule="auto"/>
              <w:rPr>
                <w:color w:val="000000"/>
              </w:rPr>
            </w:pPr>
            <w:r>
              <w:rPr>
                <w:color w:val="000000"/>
              </w:rPr>
              <w:t> </w:t>
            </w:r>
          </w:p>
        </w:tc>
        <w:tc>
          <w:tcPr>
            <w:tcW w:w="3923" w:type="dxa"/>
            <w:shd w:val="clear" w:color="auto" w:fill="auto"/>
          </w:tcPr>
          <w:p>
            <w:pPr>
              <w:spacing w:after="0" w:line="360" w:lineRule="auto"/>
              <w:rPr>
                <w:color w:val="000000"/>
              </w:rPr>
            </w:pPr>
            <w:r>
              <w:rPr>
                <w:color w:val="000000"/>
              </w:rPr>
              <w:t>APBN (Rupiah Murni)</w:t>
            </w:r>
          </w:p>
        </w:tc>
        <w:tc>
          <w:tcPr>
            <w:tcW w:w="2034" w:type="dxa"/>
            <w:shd w:val="clear" w:color="auto" w:fill="auto"/>
          </w:tcPr>
          <w:p>
            <w:pPr>
              <w:spacing w:after="0" w:line="360" w:lineRule="auto"/>
              <w:jc w:val="right"/>
              <w:rPr>
                <w:color w:val="000000"/>
              </w:rPr>
            </w:pPr>
            <w:r>
              <w:rPr>
                <w:color w:val="000000"/>
              </w:rPr>
              <w:t>96,949,875</w:t>
            </w:r>
          </w:p>
        </w:tc>
        <w:tc>
          <w:tcPr>
            <w:tcW w:w="1862" w:type="dxa"/>
            <w:shd w:val="clear" w:color="auto" w:fill="auto"/>
          </w:tcPr>
          <w:p>
            <w:pPr>
              <w:spacing w:after="0" w:line="360" w:lineRule="auto"/>
              <w:jc w:val="right"/>
              <w:rPr>
                <w:color w:val="000000"/>
              </w:rPr>
            </w:pPr>
            <w:r>
              <w:rPr>
                <w:color w:val="000000"/>
              </w:rPr>
              <w:t>983,006,000</w:t>
            </w:r>
          </w:p>
        </w:tc>
        <w:tc>
          <w:tcPr>
            <w:tcW w:w="1862" w:type="dxa"/>
            <w:shd w:val="clear" w:color="auto" w:fill="auto"/>
          </w:tcPr>
          <w:p>
            <w:pPr>
              <w:spacing w:after="0" w:line="360" w:lineRule="auto"/>
              <w:jc w:val="right"/>
              <w:rPr>
                <w:color w:val="000000"/>
              </w:rPr>
            </w:pPr>
            <w:r>
              <w:rPr>
                <w:color w:val="000000"/>
              </w:rPr>
              <w:t>1,678,717,124</w:t>
            </w:r>
          </w:p>
        </w:tc>
        <w:tc>
          <w:tcPr>
            <w:tcW w:w="1862" w:type="dxa"/>
            <w:shd w:val="clear" w:color="auto" w:fill="auto"/>
          </w:tcPr>
          <w:p>
            <w:pPr>
              <w:spacing w:after="0" w:line="360" w:lineRule="auto"/>
              <w:jc w:val="right"/>
              <w:rPr>
                <w:color w:val="000000"/>
              </w:rPr>
            </w:pPr>
            <w:r>
              <w:rPr>
                <w:color w:val="000000"/>
              </w:rPr>
              <w:t>6,470,755,035</w:t>
            </w:r>
          </w:p>
        </w:tc>
        <w:tc>
          <w:tcPr>
            <w:tcW w:w="1862" w:type="dxa"/>
            <w:shd w:val="clear" w:color="auto" w:fill="auto"/>
          </w:tcPr>
          <w:p>
            <w:pPr>
              <w:spacing w:after="0" w:line="360" w:lineRule="auto"/>
              <w:jc w:val="right"/>
              <w:rPr>
                <w:color w:val="000000"/>
              </w:rPr>
            </w:pPr>
            <w:r>
              <w:rPr>
                <w:color w:val="000000"/>
              </w:rPr>
              <w:t>6,113,950,469</w:t>
            </w:r>
          </w:p>
        </w:tc>
      </w:tr>
    </w:tbl>
    <w:p>
      <w:pPr>
        <w:rPr>
          <w:b/>
          <w:i/>
        </w:rPr>
      </w:pPr>
      <w:r>
        <w:rPr>
          <w:b/>
          <w:i/>
        </w:rPr>
        <w:t>2.</w:t>
      </w:r>
      <w:r>
        <w:rPr>
          <w:b/>
          <w:i/>
          <w:lang w:val="id-ID"/>
        </w:rPr>
        <w:t>1.</w:t>
      </w:r>
      <w:r>
        <w:rPr>
          <w:b/>
          <w:i/>
        </w:rPr>
        <w:t>3 Pengukuran Indeks Kepuasan Pelanggan RSUP Dr. Hasan Sadikin Bandung</w:t>
      </w:r>
    </w:p>
    <w:p>
      <w:pPr>
        <w:spacing w:line="360" w:lineRule="auto"/>
        <w:ind w:firstLine="709"/>
        <w:jc w:val="both"/>
        <w:rPr>
          <w:rFonts w:cs="Arial"/>
          <w:lang w:val="nb-NO"/>
        </w:rPr>
      </w:pPr>
      <w:r>
        <w:rPr>
          <w:rFonts w:cs="Arial"/>
          <w:lang w:val="nb-NO"/>
        </w:rPr>
        <w:t>RS</w:t>
      </w:r>
      <w:r>
        <w:rPr>
          <w:rFonts w:cs="Arial"/>
        </w:rPr>
        <w:t>UP Dr. Hasan Sadikin</w:t>
      </w:r>
      <w:r>
        <w:rPr>
          <w:rFonts w:cs="Arial"/>
          <w:lang w:val="id-ID"/>
        </w:rPr>
        <w:t xml:space="preserve"> </w:t>
      </w:r>
      <w:r>
        <w:rPr>
          <w:rFonts w:cs="Arial"/>
        </w:rPr>
        <w:t>telah</w:t>
      </w:r>
      <w:r>
        <w:rPr>
          <w:rFonts w:cs="Arial"/>
          <w:lang w:val="es-ES"/>
        </w:rPr>
        <w:t xml:space="preserve"> melaksanakan pengukuran I</w:t>
      </w:r>
      <w:r>
        <w:rPr>
          <w:rFonts w:cs="Arial"/>
        </w:rPr>
        <w:t xml:space="preserve">ndeks </w:t>
      </w:r>
      <w:r>
        <w:rPr>
          <w:rFonts w:cs="Arial"/>
          <w:lang w:val="es-ES"/>
        </w:rPr>
        <w:t>K</w:t>
      </w:r>
      <w:r>
        <w:rPr>
          <w:rFonts w:cs="Arial"/>
        </w:rPr>
        <w:t xml:space="preserve">epuasan </w:t>
      </w:r>
      <w:r>
        <w:rPr>
          <w:rFonts w:cs="Arial"/>
          <w:lang w:val="es-ES"/>
        </w:rPr>
        <w:t>M</w:t>
      </w:r>
      <w:r>
        <w:rPr>
          <w:rFonts w:cs="Arial"/>
        </w:rPr>
        <w:t>asyarakat dengan metode wawancara langsung kepada pasien dan keluarga pasien melalui pihak ketiga</w:t>
      </w:r>
      <w:r>
        <w:rPr>
          <w:rFonts w:cs="Arial"/>
          <w:lang w:val="id-ID"/>
        </w:rPr>
        <w:t xml:space="preserve"> </w:t>
      </w:r>
      <w:r>
        <w:rPr>
          <w:rFonts w:cs="Arial"/>
        </w:rPr>
        <w:t xml:space="preserve">secara berkesinambungan dilakukan setiap 2 kali dalam setahun sesuai dengan keputusan dan peraturan Menteri Pendayagunaan Aparatur Negara (MenPan) tentang pelayanan publik yang pada </w:t>
      </w:r>
      <w:r>
        <w:rPr>
          <w:rFonts w:cs="Arial"/>
          <w:lang w:val="nb-NO"/>
        </w:rPr>
        <w:t>bulan Februari Tahun 2004 telah mengeluarkan Keputusan Menpan No. Kep/25/M.PAN/2/2004 tentang Pedoman Umum Penyusunan Indeks Kepuasan Masyarakat (IKM) Unit Pelayanan Instansi Pemerintah.</w:t>
      </w:r>
    </w:p>
    <w:p>
      <w:pPr>
        <w:spacing w:line="360" w:lineRule="auto"/>
        <w:ind w:firstLine="709"/>
        <w:jc w:val="both"/>
        <w:rPr>
          <w:rFonts w:cs="Arial"/>
        </w:rPr>
      </w:pPr>
      <w:r>
        <w:rPr>
          <w:rFonts w:cs="Arial"/>
        </w:rPr>
        <w:t>Berikut nilai rata-rata pengukuran Indeks Kepuasan pelanggan:</w:t>
      </w:r>
    </w:p>
    <w:p>
      <w:pPr>
        <w:jc w:val="center"/>
        <w:rPr>
          <w:rFonts w:eastAsia="Calibri"/>
        </w:rPr>
      </w:pPr>
      <w:r>
        <w:rPr>
          <w:rFonts w:eastAsia="Calibri"/>
          <w:lang w:val="id-ID" w:eastAsia="id-ID"/>
        </w:rPr>
        <w:drawing>
          <wp:inline distT="0" distB="0" distL="0" distR="0">
            <wp:extent cx="7538085" cy="2392045"/>
            <wp:effectExtent l="0" t="0" r="24765" b="273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9"/>
        <w:rPr>
          <w:lang w:val="id-ID"/>
        </w:rPr>
      </w:pPr>
      <w:bookmarkStart w:id="24" w:name="_Toc430523212"/>
      <w:r>
        <w:t xml:space="preserve">Gambar 2. </w:t>
      </w:r>
      <w:r>
        <w:fldChar w:fldCharType="begin"/>
      </w:r>
      <w:r>
        <w:instrText xml:space="preserve"> SEQ Gambar_2._ \* ARABIC </w:instrText>
      </w:r>
      <w:r>
        <w:fldChar w:fldCharType="separate"/>
      </w:r>
      <w:r>
        <w:t>4</w:t>
      </w:r>
      <w:r>
        <w:fldChar w:fldCharType="end"/>
      </w:r>
      <w:r>
        <w:t xml:space="preserve"> </w:t>
      </w:r>
      <w:r>
        <w:rPr>
          <w:rFonts w:eastAsia="Calibri"/>
        </w:rPr>
        <w:t>Nilai Rata-Rata Pengukuran Indeks Kepuasan Pelanggan</w:t>
      </w:r>
      <w:bookmarkEnd w:id="24"/>
    </w:p>
    <w:p>
      <w:pPr>
        <w:spacing w:line="360" w:lineRule="auto"/>
        <w:ind w:left="720"/>
        <w:contextualSpacing/>
        <w:jc w:val="both"/>
        <w:rPr>
          <w:rFonts w:cs="Arial"/>
          <w:lang w:val="id-ID"/>
        </w:rPr>
      </w:pPr>
    </w:p>
    <w:p>
      <w:pPr>
        <w:spacing w:after="0" w:line="360" w:lineRule="auto"/>
        <w:ind w:left="720"/>
        <w:contextualSpacing/>
        <w:jc w:val="both"/>
        <w:rPr>
          <w:rFonts w:cs="Arial"/>
          <w:lang w:val="id-ID"/>
        </w:rPr>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rFonts w:cs="Arial"/>
          <w:lang w:val="id-ID"/>
        </w:rPr>
      </w:pPr>
      <w:r>
        <w:rPr>
          <w:rFonts w:cs="Arial"/>
          <w:lang w:val="id-ID"/>
        </w:rPr>
        <w:t>Indeks kepuasan pasien dalam 4 tahun terakhir berkisar antara nilai  73-75 termasuk kategori Baik. Namun demikian indeks ini menunjukkan stagnasi dan  cenderung menurun setelah tahun 2011 (tabel 2.1</w:t>
      </w:r>
      <w:r>
        <w:rPr>
          <w:rFonts w:cs="Arial"/>
        </w:rPr>
        <w:t>4</w:t>
      </w:r>
      <w:r>
        <w:rPr>
          <w:rFonts w:cs="Arial"/>
          <w:lang w:val="id-ID"/>
        </w:rPr>
        <w:t>).  Nilai terendah yang berkontribusi terhadap indeks kepuasan pasien  tahun tahun terakhir ini berkaitan dengan kepastian jadwal dan kenyamanan lingkungan,  kecepatan pelayanan  serta prosedur pelayanan (</w:t>
      </w:r>
      <w:r>
        <w:rPr>
          <w:rFonts w:cs="Arial"/>
        </w:rPr>
        <w:t>gambar 2.4</w:t>
      </w:r>
      <w:r>
        <w:rPr>
          <w:rFonts w:cs="Arial"/>
          <w:lang w:val="id-ID"/>
        </w:rPr>
        <w:t xml:space="preserve">).  Hal ini sesuai dengan   komentar/saran  </w:t>
      </w:r>
      <w:r>
        <w:rPr>
          <w:rFonts w:cs="Arial"/>
        </w:rPr>
        <w:t xml:space="preserve">responden </w:t>
      </w:r>
      <w:r>
        <w:rPr>
          <w:rFonts w:cs="Arial"/>
          <w:lang w:val="id-ID"/>
        </w:rPr>
        <w:t>antara lain; p</w:t>
      </w:r>
      <w:r>
        <w:rPr>
          <w:rFonts w:cs="Arial"/>
        </w:rPr>
        <w:t xml:space="preserve">elayanan </w:t>
      </w:r>
      <w:r>
        <w:rPr>
          <w:rFonts w:cs="Arial"/>
          <w:lang w:val="id-ID"/>
        </w:rPr>
        <w:t xml:space="preserve">yang </w:t>
      </w:r>
      <w:r>
        <w:rPr>
          <w:rFonts w:cs="Arial"/>
        </w:rPr>
        <w:t xml:space="preserve">lebih </w:t>
      </w:r>
      <w:r>
        <w:rPr>
          <w:rFonts w:cs="Arial"/>
          <w:lang w:val="id-ID"/>
        </w:rPr>
        <w:t>baik,  p</w:t>
      </w:r>
      <w:r>
        <w:rPr>
          <w:rFonts w:cs="Arial"/>
        </w:rPr>
        <w:t>erbaikan sarana</w:t>
      </w:r>
      <w:r>
        <w:rPr>
          <w:rFonts w:cs="Arial"/>
          <w:lang w:val="id-ID"/>
        </w:rPr>
        <w:t>,</w:t>
      </w:r>
      <w:r>
        <w:rPr>
          <w:rFonts w:cs="Arial"/>
        </w:rPr>
        <w:t xml:space="preserve"> </w:t>
      </w:r>
      <w:r>
        <w:rPr>
          <w:rFonts w:cs="Arial"/>
          <w:lang w:val="id-ID"/>
        </w:rPr>
        <w:t>k</w:t>
      </w:r>
      <w:r>
        <w:rPr>
          <w:rFonts w:cs="Arial"/>
        </w:rPr>
        <w:t>ebersihan kamar mandi pasien rawat inap</w:t>
      </w:r>
      <w:r>
        <w:rPr>
          <w:rFonts w:cs="Arial"/>
          <w:lang w:val="id-ID"/>
        </w:rPr>
        <w:t>, k</w:t>
      </w:r>
      <w:r>
        <w:rPr>
          <w:rFonts w:cs="Arial"/>
        </w:rPr>
        <w:t>eramahan petugas</w:t>
      </w:r>
      <w:r>
        <w:rPr>
          <w:rFonts w:cs="Arial"/>
          <w:lang w:val="id-ID"/>
        </w:rPr>
        <w:t>, p</w:t>
      </w:r>
      <w:r>
        <w:rPr>
          <w:rFonts w:cs="Arial"/>
        </w:rPr>
        <w:t>rosedur yang terlalu rumit</w:t>
      </w:r>
      <w:r>
        <w:rPr>
          <w:rFonts w:cs="Arial"/>
          <w:lang w:val="id-ID"/>
        </w:rPr>
        <w:t>.</w:t>
      </w:r>
    </w:p>
    <w:p>
      <w:pPr>
        <w:spacing w:line="360" w:lineRule="auto"/>
        <w:ind w:firstLine="709"/>
        <w:jc w:val="both"/>
        <w:rPr>
          <w:rFonts w:cs="Arial"/>
          <w:lang w:val="id-ID"/>
        </w:rPr>
      </w:pPr>
      <w:r>
        <w:rPr>
          <w:rFonts w:cs="Arial"/>
          <w:lang w:val="id-ID"/>
        </w:rPr>
        <w:t>Sehingga perlu  dilakukan peningkatan pengelolaan untuk  meningkatkan kepuasan pasien yang lebih tertata dan terintegrasi secara optimal.</w:t>
      </w:r>
    </w:p>
    <w:p>
      <w:pPr>
        <w:pStyle w:val="9"/>
      </w:pPr>
      <w:bookmarkStart w:id="25" w:name="_Toc430523092"/>
      <w:r>
        <w:t xml:space="preserve">Tabel 2. </w:t>
      </w:r>
      <w:r>
        <w:fldChar w:fldCharType="begin"/>
      </w:r>
      <w:r>
        <w:instrText xml:space="preserve"> SEQ Tabel_2. \* ARABIC </w:instrText>
      </w:r>
      <w:r>
        <w:fldChar w:fldCharType="separate"/>
      </w:r>
      <w:r>
        <w:t>10</w:t>
      </w:r>
      <w:r>
        <w:fldChar w:fldCharType="end"/>
      </w:r>
      <w:r>
        <w:t xml:space="preserve"> Nilai Terendah dari Unsur-unsur Indeks Kepuasan Pasien Skor Nilai 1-4</w:t>
      </w:r>
      <w:bookmarkEnd w:id="25"/>
    </w:p>
    <w:tbl>
      <w:tblPr>
        <w:tblStyle w:val="47"/>
        <w:tblW w:w="11097" w:type="dxa"/>
        <w:jc w:val="center"/>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1479"/>
        <w:gridCol w:w="1539"/>
        <w:gridCol w:w="5811"/>
        <w:gridCol w:w="2268"/>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131" w:hRule="atLeast"/>
          <w:jc w:val="center"/>
        </w:trPr>
        <w:tc>
          <w:tcPr>
            <w:tcW w:w="1479" w:type="dxa"/>
            <w:tcBorders>
              <w:bottom w:val="single" w:color="259073" w:themeColor="accent2" w:sz="4" w:space="0"/>
            </w:tcBorders>
            <w:shd w:val="clear" w:color="auto" w:fill="auto"/>
          </w:tcPr>
          <w:p>
            <w:pPr>
              <w:spacing w:after="0" w:line="240" w:lineRule="auto"/>
              <w:jc w:val="center"/>
              <w:rPr>
                <w:rFonts w:cs="Arial"/>
                <w:b/>
                <w:sz w:val="21"/>
                <w:szCs w:val="21"/>
              </w:rPr>
            </w:pPr>
            <w:r>
              <w:rPr>
                <w:rFonts w:cs="Arial"/>
                <w:b/>
                <w:sz w:val="21"/>
                <w:szCs w:val="21"/>
              </w:rPr>
              <w:t>Tahun</w:t>
            </w:r>
          </w:p>
        </w:tc>
        <w:tc>
          <w:tcPr>
            <w:tcW w:w="1539" w:type="dxa"/>
            <w:tcBorders>
              <w:bottom w:val="single" w:color="259073" w:themeColor="accent2" w:sz="4" w:space="0"/>
            </w:tcBorders>
            <w:shd w:val="clear" w:color="auto" w:fill="auto"/>
          </w:tcPr>
          <w:p>
            <w:pPr>
              <w:spacing w:after="0" w:line="240" w:lineRule="auto"/>
              <w:jc w:val="center"/>
              <w:rPr>
                <w:rFonts w:cs="Arial"/>
                <w:b/>
                <w:sz w:val="21"/>
                <w:szCs w:val="21"/>
              </w:rPr>
            </w:pPr>
            <w:r>
              <w:rPr>
                <w:rFonts w:cs="Arial"/>
                <w:b/>
                <w:sz w:val="21"/>
                <w:szCs w:val="21"/>
              </w:rPr>
              <w:t>Ranking</w:t>
            </w:r>
          </w:p>
        </w:tc>
        <w:tc>
          <w:tcPr>
            <w:tcW w:w="5811" w:type="dxa"/>
            <w:tcBorders>
              <w:bottom w:val="single" w:color="259073" w:themeColor="accent2" w:sz="4" w:space="0"/>
            </w:tcBorders>
            <w:shd w:val="clear" w:color="auto" w:fill="auto"/>
          </w:tcPr>
          <w:p>
            <w:pPr>
              <w:spacing w:after="0" w:line="240" w:lineRule="auto"/>
              <w:jc w:val="center"/>
              <w:rPr>
                <w:rFonts w:cs="Arial"/>
                <w:b/>
                <w:sz w:val="21"/>
                <w:szCs w:val="21"/>
              </w:rPr>
            </w:pPr>
            <w:r>
              <w:rPr>
                <w:rFonts w:cs="Arial"/>
                <w:b/>
                <w:sz w:val="21"/>
                <w:szCs w:val="21"/>
              </w:rPr>
              <w:t>Unsur</w:t>
            </w:r>
          </w:p>
        </w:tc>
        <w:tc>
          <w:tcPr>
            <w:tcW w:w="2268" w:type="dxa"/>
            <w:tcBorders>
              <w:bottom w:val="single" w:color="259073" w:themeColor="accent2" w:sz="4" w:space="0"/>
            </w:tcBorders>
            <w:shd w:val="clear" w:color="auto" w:fill="auto"/>
          </w:tcPr>
          <w:p>
            <w:pPr>
              <w:spacing w:after="0" w:line="240" w:lineRule="auto"/>
              <w:jc w:val="center"/>
              <w:rPr>
                <w:rFonts w:cs="Arial"/>
                <w:b/>
                <w:sz w:val="21"/>
                <w:szCs w:val="21"/>
              </w:rPr>
            </w:pPr>
            <w:r>
              <w:rPr>
                <w:rFonts w:cs="Arial"/>
                <w:b/>
                <w:sz w:val="21"/>
                <w:szCs w:val="21"/>
              </w:rPr>
              <w:t>Nilai sebelum konfersi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93" w:hRule="atLeast"/>
          <w:jc w:val="center"/>
        </w:trPr>
        <w:tc>
          <w:tcPr>
            <w:tcW w:w="1479" w:type="dxa"/>
            <w:tcBorders>
              <w:bottom w:val="nil"/>
            </w:tcBorders>
            <w:shd w:val="clear" w:color="auto" w:fill="ECCF74"/>
          </w:tcPr>
          <w:p>
            <w:pPr>
              <w:spacing w:after="0"/>
              <w:jc w:val="center"/>
              <w:rPr>
                <w:rFonts w:cs="Arial"/>
                <w:sz w:val="21"/>
                <w:szCs w:val="21"/>
              </w:rPr>
            </w:pPr>
            <w:r>
              <w:rPr>
                <w:rFonts w:cs="Arial"/>
                <w:sz w:val="21"/>
                <w:szCs w:val="21"/>
              </w:rPr>
              <w:t>2010</w:t>
            </w:r>
          </w:p>
        </w:tc>
        <w:tc>
          <w:tcPr>
            <w:tcW w:w="1539" w:type="dxa"/>
            <w:tcBorders>
              <w:bottom w:val="nil"/>
            </w:tcBorders>
            <w:shd w:val="clear" w:color="auto" w:fill="ECCF74"/>
          </w:tcPr>
          <w:p>
            <w:pPr>
              <w:spacing w:after="0"/>
              <w:jc w:val="center"/>
              <w:rPr>
                <w:rFonts w:cs="Arial"/>
                <w:sz w:val="21"/>
                <w:szCs w:val="21"/>
              </w:rPr>
            </w:pPr>
            <w:r>
              <w:rPr>
                <w:rFonts w:cs="Arial"/>
                <w:sz w:val="21"/>
                <w:szCs w:val="21"/>
              </w:rPr>
              <w:t>1</w:t>
            </w:r>
          </w:p>
        </w:tc>
        <w:tc>
          <w:tcPr>
            <w:tcW w:w="5811" w:type="dxa"/>
            <w:tcBorders>
              <w:bottom w:val="nil"/>
            </w:tcBorders>
            <w:shd w:val="clear" w:color="auto" w:fill="ECCF74"/>
          </w:tcPr>
          <w:p>
            <w:pPr>
              <w:spacing w:after="0"/>
              <w:jc w:val="both"/>
              <w:rPr>
                <w:rFonts w:cs="Arial"/>
                <w:sz w:val="21"/>
                <w:szCs w:val="21"/>
              </w:rPr>
            </w:pPr>
            <w:r>
              <w:rPr>
                <w:rFonts w:cs="Arial"/>
                <w:sz w:val="21"/>
                <w:szCs w:val="21"/>
              </w:rPr>
              <w:t>Kecepatan pelayanan</w:t>
            </w:r>
          </w:p>
        </w:tc>
        <w:tc>
          <w:tcPr>
            <w:tcW w:w="2268" w:type="dxa"/>
            <w:tcBorders>
              <w:bottom w:val="nil"/>
            </w:tcBorders>
            <w:shd w:val="clear" w:color="auto" w:fill="ECCF74"/>
          </w:tcPr>
          <w:p>
            <w:pPr>
              <w:spacing w:after="0"/>
              <w:jc w:val="center"/>
              <w:rPr>
                <w:rFonts w:cs="Arial"/>
                <w:sz w:val="21"/>
                <w:szCs w:val="21"/>
              </w:rPr>
            </w:pPr>
            <w:r>
              <w:rPr>
                <w:rFonts w:cs="Arial"/>
                <w:sz w:val="21"/>
                <w:szCs w:val="21"/>
              </w:rPr>
              <w:t>2,82</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09" w:hRule="atLeast"/>
          <w:jc w:val="center"/>
        </w:trPr>
        <w:tc>
          <w:tcPr>
            <w:tcW w:w="1479" w:type="dxa"/>
            <w:tcBorders>
              <w:top w:val="nil"/>
              <w:bottom w:val="nil"/>
            </w:tcBorders>
            <w:shd w:val="clear" w:color="auto" w:fill="ECCF74"/>
          </w:tcPr>
          <w:p>
            <w:pPr>
              <w:spacing w:after="0"/>
              <w:jc w:val="center"/>
              <w:rPr>
                <w:rFonts w:cs="Arial"/>
                <w:sz w:val="21"/>
                <w:szCs w:val="21"/>
              </w:rPr>
            </w:pPr>
          </w:p>
        </w:tc>
        <w:tc>
          <w:tcPr>
            <w:tcW w:w="1539" w:type="dxa"/>
            <w:tcBorders>
              <w:top w:val="nil"/>
              <w:bottom w:val="nil"/>
            </w:tcBorders>
            <w:shd w:val="clear" w:color="auto" w:fill="ECCF74"/>
          </w:tcPr>
          <w:p>
            <w:pPr>
              <w:spacing w:after="0"/>
              <w:jc w:val="center"/>
              <w:rPr>
                <w:rFonts w:cs="Arial"/>
                <w:sz w:val="21"/>
                <w:szCs w:val="21"/>
              </w:rPr>
            </w:pPr>
            <w:r>
              <w:rPr>
                <w:rFonts w:cs="Arial"/>
                <w:sz w:val="21"/>
                <w:szCs w:val="21"/>
              </w:rPr>
              <w:t>2</w:t>
            </w:r>
          </w:p>
        </w:tc>
        <w:tc>
          <w:tcPr>
            <w:tcW w:w="5811" w:type="dxa"/>
            <w:tcBorders>
              <w:top w:val="nil"/>
              <w:bottom w:val="nil"/>
            </w:tcBorders>
            <w:shd w:val="clear" w:color="auto" w:fill="ECCF74"/>
          </w:tcPr>
          <w:p>
            <w:pPr>
              <w:spacing w:after="0"/>
              <w:jc w:val="both"/>
              <w:rPr>
                <w:rFonts w:cs="Arial"/>
                <w:sz w:val="21"/>
                <w:szCs w:val="21"/>
              </w:rPr>
            </w:pPr>
            <w:r>
              <w:rPr>
                <w:rFonts w:cs="Arial"/>
                <w:sz w:val="21"/>
                <w:szCs w:val="21"/>
              </w:rPr>
              <w:t>Prosedur Pelayanan</w:t>
            </w:r>
          </w:p>
        </w:tc>
        <w:tc>
          <w:tcPr>
            <w:tcW w:w="2268" w:type="dxa"/>
            <w:tcBorders>
              <w:top w:val="nil"/>
              <w:bottom w:val="nil"/>
            </w:tcBorders>
            <w:shd w:val="clear" w:color="auto" w:fill="ECCF74"/>
          </w:tcPr>
          <w:p>
            <w:pPr>
              <w:spacing w:after="0"/>
              <w:jc w:val="center"/>
              <w:rPr>
                <w:rFonts w:cs="Arial"/>
                <w:sz w:val="21"/>
                <w:szCs w:val="21"/>
              </w:rPr>
            </w:pPr>
            <w:r>
              <w:rPr>
                <w:rFonts w:cs="Arial"/>
                <w:sz w:val="21"/>
                <w:szCs w:val="21"/>
              </w:rPr>
              <w:t>2,89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single" w:color="259073" w:themeColor="accent2" w:sz="4" w:space="0"/>
            </w:tcBorders>
            <w:shd w:val="clear" w:color="auto" w:fill="ECCF74"/>
          </w:tcPr>
          <w:p>
            <w:pPr>
              <w:spacing w:after="0"/>
              <w:jc w:val="center"/>
              <w:rPr>
                <w:rFonts w:cs="Arial"/>
                <w:sz w:val="21"/>
                <w:szCs w:val="21"/>
              </w:rPr>
            </w:pPr>
          </w:p>
        </w:tc>
        <w:tc>
          <w:tcPr>
            <w:tcW w:w="1539"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3</w:t>
            </w:r>
          </w:p>
        </w:tc>
        <w:tc>
          <w:tcPr>
            <w:tcW w:w="5811" w:type="dxa"/>
            <w:tcBorders>
              <w:top w:val="nil"/>
              <w:bottom w:val="single" w:color="259073" w:themeColor="accent2" w:sz="4" w:space="0"/>
            </w:tcBorders>
            <w:shd w:val="clear" w:color="auto" w:fill="ECCF74"/>
          </w:tcPr>
          <w:p>
            <w:pPr>
              <w:spacing w:after="0"/>
              <w:jc w:val="both"/>
              <w:rPr>
                <w:rFonts w:cs="Arial"/>
                <w:sz w:val="21"/>
                <w:szCs w:val="21"/>
              </w:rPr>
            </w:pPr>
            <w:r>
              <w:rPr>
                <w:rFonts w:cs="Arial"/>
                <w:sz w:val="21"/>
                <w:szCs w:val="21"/>
              </w:rPr>
              <w:t>Kepastian jadwal dan kenyamanan lingkungan</w:t>
            </w:r>
          </w:p>
        </w:tc>
        <w:tc>
          <w:tcPr>
            <w:tcW w:w="2268"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2,92</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bottom w:val="nil"/>
            </w:tcBorders>
            <w:shd w:val="clear" w:color="auto" w:fill="ECCF74"/>
          </w:tcPr>
          <w:p>
            <w:pPr>
              <w:spacing w:after="0"/>
              <w:jc w:val="center"/>
              <w:rPr>
                <w:rFonts w:cs="Arial"/>
                <w:sz w:val="21"/>
                <w:szCs w:val="21"/>
              </w:rPr>
            </w:pPr>
            <w:r>
              <w:rPr>
                <w:rFonts w:cs="Arial"/>
                <w:sz w:val="21"/>
                <w:szCs w:val="21"/>
              </w:rPr>
              <w:t>2011</w:t>
            </w:r>
          </w:p>
        </w:tc>
        <w:tc>
          <w:tcPr>
            <w:tcW w:w="1539" w:type="dxa"/>
            <w:tcBorders>
              <w:bottom w:val="nil"/>
            </w:tcBorders>
            <w:shd w:val="clear" w:color="auto" w:fill="ECCF74"/>
          </w:tcPr>
          <w:p>
            <w:pPr>
              <w:spacing w:after="0"/>
              <w:jc w:val="center"/>
              <w:rPr>
                <w:rFonts w:cs="Arial"/>
                <w:sz w:val="21"/>
                <w:szCs w:val="21"/>
              </w:rPr>
            </w:pPr>
            <w:r>
              <w:rPr>
                <w:rFonts w:cs="Arial"/>
                <w:sz w:val="21"/>
                <w:szCs w:val="21"/>
              </w:rPr>
              <w:t>1</w:t>
            </w:r>
          </w:p>
        </w:tc>
        <w:tc>
          <w:tcPr>
            <w:tcW w:w="5811" w:type="dxa"/>
            <w:tcBorders>
              <w:bottom w:val="nil"/>
            </w:tcBorders>
            <w:shd w:val="clear" w:color="auto" w:fill="ECCF74"/>
          </w:tcPr>
          <w:p>
            <w:pPr>
              <w:spacing w:after="0"/>
              <w:jc w:val="both"/>
              <w:rPr>
                <w:rFonts w:cs="Arial"/>
                <w:sz w:val="21"/>
                <w:szCs w:val="21"/>
              </w:rPr>
            </w:pPr>
            <w:r>
              <w:rPr>
                <w:rFonts w:cs="Arial"/>
                <w:sz w:val="21"/>
                <w:szCs w:val="21"/>
              </w:rPr>
              <w:t>Kepastian jadwal</w:t>
            </w:r>
          </w:p>
        </w:tc>
        <w:tc>
          <w:tcPr>
            <w:tcW w:w="2268" w:type="dxa"/>
            <w:tcBorders>
              <w:bottom w:val="nil"/>
            </w:tcBorders>
            <w:shd w:val="clear" w:color="auto" w:fill="ECCF74"/>
          </w:tcPr>
          <w:p>
            <w:pPr>
              <w:spacing w:after="0"/>
              <w:jc w:val="center"/>
              <w:rPr>
                <w:rFonts w:cs="Arial"/>
                <w:sz w:val="21"/>
                <w:szCs w:val="21"/>
              </w:rPr>
            </w:pPr>
            <w:r>
              <w:rPr>
                <w:rFonts w:cs="Arial"/>
                <w:sz w:val="21"/>
                <w:szCs w:val="21"/>
              </w:rPr>
              <w:t>2,68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nil"/>
            </w:tcBorders>
            <w:shd w:val="clear" w:color="auto" w:fill="ECCF74"/>
          </w:tcPr>
          <w:p>
            <w:pPr>
              <w:spacing w:after="0"/>
              <w:jc w:val="center"/>
              <w:rPr>
                <w:rFonts w:cs="Arial"/>
                <w:sz w:val="21"/>
                <w:szCs w:val="21"/>
              </w:rPr>
            </w:pPr>
          </w:p>
        </w:tc>
        <w:tc>
          <w:tcPr>
            <w:tcW w:w="1539" w:type="dxa"/>
            <w:tcBorders>
              <w:top w:val="nil"/>
              <w:bottom w:val="nil"/>
            </w:tcBorders>
            <w:shd w:val="clear" w:color="auto" w:fill="ECCF74"/>
          </w:tcPr>
          <w:p>
            <w:pPr>
              <w:spacing w:after="0"/>
              <w:jc w:val="center"/>
              <w:rPr>
                <w:rFonts w:cs="Arial"/>
                <w:sz w:val="21"/>
                <w:szCs w:val="21"/>
              </w:rPr>
            </w:pPr>
            <w:r>
              <w:rPr>
                <w:rFonts w:cs="Arial"/>
                <w:sz w:val="21"/>
                <w:szCs w:val="21"/>
              </w:rPr>
              <w:t>2</w:t>
            </w:r>
          </w:p>
        </w:tc>
        <w:tc>
          <w:tcPr>
            <w:tcW w:w="5811" w:type="dxa"/>
            <w:tcBorders>
              <w:top w:val="nil"/>
              <w:bottom w:val="nil"/>
            </w:tcBorders>
            <w:shd w:val="clear" w:color="auto" w:fill="ECCF74"/>
          </w:tcPr>
          <w:p>
            <w:pPr>
              <w:spacing w:after="0"/>
              <w:jc w:val="both"/>
              <w:rPr>
                <w:rFonts w:cs="Arial"/>
                <w:sz w:val="21"/>
                <w:szCs w:val="21"/>
              </w:rPr>
            </w:pPr>
            <w:r>
              <w:rPr>
                <w:rFonts w:cs="Arial"/>
                <w:sz w:val="21"/>
                <w:szCs w:val="21"/>
              </w:rPr>
              <w:t>Kecepatan pelayanan</w:t>
            </w:r>
          </w:p>
        </w:tc>
        <w:tc>
          <w:tcPr>
            <w:tcW w:w="2268" w:type="dxa"/>
            <w:tcBorders>
              <w:top w:val="nil"/>
              <w:bottom w:val="nil"/>
            </w:tcBorders>
            <w:shd w:val="clear" w:color="auto" w:fill="ECCF74"/>
          </w:tcPr>
          <w:p>
            <w:pPr>
              <w:spacing w:after="0"/>
              <w:jc w:val="center"/>
              <w:rPr>
                <w:rFonts w:cs="Arial"/>
                <w:sz w:val="21"/>
                <w:szCs w:val="21"/>
              </w:rPr>
            </w:pPr>
            <w:r>
              <w:rPr>
                <w:rFonts w:cs="Arial"/>
                <w:sz w:val="21"/>
                <w:szCs w:val="21"/>
              </w:rPr>
              <w:t>2,83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single" w:color="259073" w:themeColor="accent2" w:sz="4" w:space="0"/>
            </w:tcBorders>
            <w:shd w:val="clear" w:color="auto" w:fill="ECCF74"/>
          </w:tcPr>
          <w:p>
            <w:pPr>
              <w:spacing w:after="0"/>
              <w:jc w:val="center"/>
              <w:rPr>
                <w:rFonts w:cs="Arial"/>
                <w:sz w:val="21"/>
                <w:szCs w:val="21"/>
              </w:rPr>
            </w:pPr>
          </w:p>
        </w:tc>
        <w:tc>
          <w:tcPr>
            <w:tcW w:w="1539"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3</w:t>
            </w:r>
          </w:p>
        </w:tc>
        <w:tc>
          <w:tcPr>
            <w:tcW w:w="5811" w:type="dxa"/>
            <w:tcBorders>
              <w:top w:val="nil"/>
              <w:bottom w:val="single" w:color="259073" w:themeColor="accent2" w:sz="4" w:space="0"/>
            </w:tcBorders>
            <w:shd w:val="clear" w:color="auto" w:fill="ECCF74"/>
          </w:tcPr>
          <w:p>
            <w:pPr>
              <w:spacing w:after="0"/>
              <w:jc w:val="both"/>
              <w:rPr>
                <w:rFonts w:cs="Arial"/>
                <w:sz w:val="21"/>
                <w:szCs w:val="21"/>
              </w:rPr>
            </w:pPr>
            <w:r>
              <w:rPr>
                <w:rFonts w:cs="Arial"/>
                <w:sz w:val="21"/>
                <w:szCs w:val="21"/>
              </w:rPr>
              <w:t>Prosedur Pelayanan</w:t>
            </w:r>
          </w:p>
        </w:tc>
        <w:tc>
          <w:tcPr>
            <w:tcW w:w="2268"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2,93</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bottom w:val="nil"/>
            </w:tcBorders>
            <w:shd w:val="clear" w:color="auto" w:fill="ECCF74"/>
          </w:tcPr>
          <w:p>
            <w:pPr>
              <w:spacing w:after="0"/>
              <w:jc w:val="center"/>
              <w:rPr>
                <w:rFonts w:cs="Arial"/>
                <w:sz w:val="21"/>
                <w:szCs w:val="21"/>
              </w:rPr>
            </w:pPr>
            <w:r>
              <w:rPr>
                <w:rFonts w:cs="Arial"/>
                <w:sz w:val="21"/>
                <w:szCs w:val="21"/>
              </w:rPr>
              <w:t>2012</w:t>
            </w:r>
          </w:p>
        </w:tc>
        <w:tc>
          <w:tcPr>
            <w:tcW w:w="1539" w:type="dxa"/>
            <w:tcBorders>
              <w:bottom w:val="nil"/>
            </w:tcBorders>
            <w:shd w:val="clear" w:color="auto" w:fill="ECCF74"/>
          </w:tcPr>
          <w:p>
            <w:pPr>
              <w:spacing w:after="0"/>
              <w:jc w:val="center"/>
              <w:rPr>
                <w:rFonts w:cs="Arial"/>
                <w:sz w:val="21"/>
                <w:szCs w:val="21"/>
              </w:rPr>
            </w:pPr>
            <w:r>
              <w:rPr>
                <w:rFonts w:cs="Arial"/>
                <w:sz w:val="21"/>
                <w:szCs w:val="21"/>
              </w:rPr>
              <w:t>1</w:t>
            </w:r>
          </w:p>
        </w:tc>
        <w:tc>
          <w:tcPr>
            <w:tcW w:w="5811" w:type="dxa"/>
            <w:tcBorders>
              <w:bottom w:val="nil"/>
            </w:tcBorders>
            <w:shd w:val="clear" w:color="auto" w:fill="ECCF74"/>
          </w:tcPr>
          <w:p>
            <w:pPr>
              <w:spacing w:after="0"/>
              <w:jc w:val="both"/>
              <w:rPr>
                <w:rFonts w:cs="Arial"/>
                <w:sz w:val="21"/>
                <w:szCs w:val="21"/>
              </w:rPr>
            </w:pPr>
            <w:r>
              <w:rPr>
                <w:rFonts w:cs="Arial"/>
                <w:sz w:val="21"/>
                <w:szCs w:val="21"/>
              </w:rPr>
              <w:t>Kepastian jadwal</w:t>
            </w:r>
          </w:p>
        </w:tc>
        <w:tc>
          <w:tcPr>
            <w:tcW w:w="2268" w:type="dxa"/>
            <w:tcBorders>
              <w:bottom w:val="nil"/>
            </w:tcBorders>
            <w:shd w:val="clear" w:color="auto" w:fill="ECCF74"/>
          </w:tcPr>
          <w:p>
            <w:pPr>
              <w:spacing w:after="0"/>
              <w:jc w:val="center"/>
              <w:rPr>
                <w:rFonts w:cs="Arial"/>
                <w:sz w:val="21"/>
                <w:szCs w:val="21"/>
              </w:rPr>
            </w:pPr>
            <w:r>
              <w:rPr>
                <w:rFonts w:cs="Arial"/>
                <w:sz w:val="21"/>
                <w:szCs w:val="21"/>
              </w:rPr>
              <w:t>2,77</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nil"/>
            </w:tcBorders>
            <w:shd w:val="clear" w:color="auto" w:fill="ECCF74"/>
          </w:tcPr>
          <w:p>
            <w:pPr>
              <w:spacing w:after="0"/>
              <w:jc w:val="center"/>
              <w:rPr>
                <w:rFonts w:cs="Arial"/>
                <w:sz w:val="21"/>
                <w:szCs w:val="21"/>
              </w:rPr>
            </w:pPr>
          </w:p>
        </w:tc>
        <w:tc>
          <w:tcPr>
            <w:tcW w:w="1539" w:type="dxa"/>
            <w:tcBorders>
              <w:top w:val="nil"/>
              <w:bottom w:val="nil"/>
            </w:tcBorders>
            <w:shd w:val="clear" w:color="auto" w:fill="ECCF74"/>
          </w:tcPr>
          <w:p>
            <w:pPr>
              <w:spacing w:after="0"/>
              <w:jc w:val="center"/>
              <w:rPr>
                <w:rFonts w:cs="Arial"/>
                <w:sz w:val="21"/>
                <w:szCs w:val="21"/>
              </w:rPr>
            </w:pPr>
            <w:r>
              <w:rPr>
                <w:rFonts w:cs="Arial"/>
                <w:sz w:val="21"/>
                <w:szCs w:val="21"/>
              </w:rPr>
              <w:t>2</w:t>
            </w:r>
          </w:p>
        </w:tc>
        <w:tc>
          <w:tcPr>
            <w:tcW w:w="5811" w:type="dxa"/>
            <w:tcBorders>
              <w:top w:val="nil"/>
              <w:bottom w:val="nil"/>
            </w:tcBorders>
            <w:shd w:val="clear" w:color="auto" w:fill="ECCF74"/>
          </w:tcPr>
          <w:p>
            <w:pPr>
              <w:spacing w:after="0"/>
              <w:jc w:val="both"/>
              <w:rPr>
                <w:rFonts w:cs="Arial"/>
                <w:sz w:val="21"/>
                <w:szCs w:val="21"/>
              </w:rPr>
            </w:pPr>
            <w:r>
              <w:rPr>
                <w:rFonts w:cs="Arial"/>
                <w:sz w:val="21"/>
                <w:szCs w:val="21"/>
              </w:rPr>
              <w:t>Kepastian biaya pelayanan</w:t>
            </w:r>
          </w:p>
        </w:tc>
        <w:tc>
          <w:tcPr>
            <w:tcW w:w="2268" w:type="dxa"/>
            <w:tcBorders>
              <w:top w:val="nil"/>
              <w:bottom w:val="nil"/>
            </w:tcBorders>
            <w:shd w:val="clear" w:color="auto" w:fill="ECCF74"/>
          </w:tcPr>
          <w:p>
            <w:pPr>
              <w:spacing w:after="0"/>
              <w:jc w:val="center"/>
              <w:rPr>
                <w:rFonts w:cs="Arial"/>
                <w:sz w:val="21"/>
                <w:szCs w:val="21"/>
              </w:rPr>
            </w:pPr>
            <w:r>
              <w:rPr>
                <w:rFonts w:cs="Arial"/>
                <w:sz w:val="21"/>
                <w:szCs w:val="21"/>
              </w:rPr>
              <w:t>2,78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single" w:color="259073" w:themeColor="accent2" w:sz="4" w:space="0"/>
            </w:tcBorders>
            <w:shd w:val="clear" w:color="auto" w:fill="ECCF74"/>
          </w:tcPr>
          <w:p>
            <w:pPr>
              <w:spacing w:after="0"/>
              <w:jc w:val="center"/>
              <w:rPr>
                <w:rFonts w:cs="Arial"/>
                <w:sz w:val="21"/>
                <w:szCs w:val="21"/>
              </w:rPr>
            </w:pPr>
          </w:p>
        </w:tc>
        <w:tc>
          <w:tcPr>
            <w:tcW w:w="1539"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3</w:t>
            </w:r>
          </w:p>
        </w:tc>
        <w:tc>
          <w:tcPr>
            <w:tcW w:w="5811" w:type="dxa"/>
            <w:tcBorders>
              <w:top w:val="nil"/>
              <w:bottom w:val="single" w:color="259073" w:themeColor="accent2" w:sz="4" w:space="0"/>
            </w:tcBorders>
            <w:shd w:val="clear" w:color="auto" w:fill="ECCF74"/>
          </w:tcPr>
          <w:p>
            <w:pPr>
              <w:spacing w:after="0"/>
              <w:jc w:val="both"/>
              <w:rPr>
                <w:rFonts w:cs="Arial"/>
                <w:sz w:val="21"/>
                <w:szCs w:val="21"/>
              </w:rPr>
            </w:pPr>
            <w:r>
              <w:rPr>
                <w:rFonts w:cs="Arial"/>
                <w:sz w:val="21"/>
                <w:szCs w:val="21"/>
              </w:rPr>
              <w:t>Prosedur pelayanan</w:t>
            </w:r>
          </w:p>
        </w:tc>
        <w:tc>
          <w:tcPr>
            <w:tcW w:w="2268" w:type="dxa"/>
            <w:tcBorders>
              <w:top w:val="nil"/>
              <w:bottom w:val="single" w:color="259073" w:themeColor="accent2" w:sz="4" w:space="0"/>
            </w:tcBorders>
            <w:shd w:val="clear" w:color="auto" w:fill="ECCF74"/>
          </w:tcPr>
          <w:p>
            <w:pPr>
              <w:spacing w:after="0"/>
              <w:jc w:val="center"/>
              <w:rPr>
                <w:rFonts w:cs="Arial"/>
                <w:sz w:val="21"/>
                <w:szCs w:val="21"/>
              </w:rPr>
            </w:pPr>
            <w:r>
              <w:rPr>
                <w:rFonts w:cs="Arial"/>
                <w:sz w:val="21"/>
                <w:szCs w:val="21"/>
              </w:rPr>
              <w:t>2,92</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bottom w:val="nil"/>
            </w:tcBorders>
            <w:shd w:val="clear" w:color="auto" w:fill="ECCF74"/>
          </w:tcPr>
          <w:p>
            <w:pPr>
              <w:spacing w:after="0"/>
              <w:jc w:val="center"/>
              <w:rPr>
                <w:rFonts w:cs="Arial"/>
                <w:sz w:val="21"/>
                <w:szCs w:val="21"/>
              </w:rPr>
            </w:pPr>
            <w:r>
              <w:rPr>
                <w:rFonts w:cs="Arial"/>
                <w:sz w:val="21"/>
                <w:szCs w:val="21"/>
              </w:rPr>
              <w:t>2013</w:t>
            </w:r>
          </w:p>
        </w:tc>
        <w:tc>
          <w:tcPr>
            <w:tcW w:w="1539" w:type="dxa"/>
            <w:tcBorders>
              <w:bottom w:val="nil"/>
            </w:tcBorders>
            <w:shd w:val="clear" w:color="auto" w:fill="ECCF74"/>
          </w:tcPr>
          <w:p>
            <w:pPr>
              <w:spacing w:after="0"/>
              <w:jc w:val="center"/>
              <w:rPr>
                <w:rFonts w:cs="Arial"/>
                <w:sz w:val="21"/>
                <w:szCs w:val="21"/>
              </w:rPr>
            </w:pPr>
            <w:r>
              <w:rPr>
                <w:rFonts w:cs="Arial"/>
                <w:sz w:val="21"/>
                <w:szCs w:val="21"/>
              </w:rPr>
              <w:t>1</w:t>
            </w:r>
          </w:p>
        </w:tc>
        <w:tc>
          <w:tcPr>
            <w:tcW w:w="5811" w:type="dxa"/>
            <w:tcBorders>
              <w:bottom w:val="nil"/>
            </w:tcBorders>
            <w:shd w:val="clear" w:color="auto" w:fill="ECCF74"/>
          </w:tcPr>
          <w:p>
            <w:pPr>
              <w:spacing w:after="0"/>
              <w:jc w:val="both"/>
              <w:rPr>
                <w:rFonts w:cs="Arial"/>
                <w:sz w:val="21"/>
                <w:szCs w:val="21"/>
              </w:rPr>
            </w:pPr>
            <w:r>
              <w:rPr>
                <w:rFonts w:cs="Arial"/>
                <w:sz w:val="21"/>
                <w:szCs w:val="21"/>
              </w:rPr>
              <w:t>Kecepatan pelayanan</w:t>
            </w:r>
          </w:p>
        </w:tc>
        <w:tc>
          <w:tcPr>
            <w:tcW w:w="2268" w:type="dxa"/>
            <w:tcBorders>
              <w:bottom w:val="nil"/>
            </w:tcBorders>
            <w:shd w:val="clear" w:color="auto" w:fill="ECCF74"/>
          </w:tcPr>
          <w:p>
            <w:pPr>
              <w:spacing w:after="0"/>
              <w:jc w:val="center"/>
              <w:rPr>
                <w:rFonts w:cs="Arial"/>
                <w:sz w:val="21"/>
                <w:szCs w:val="21"/>
              </w:rPr>
            </w:pPr>
            <w:r>
              <w:rPr>
                <w:rFonts w:cs="Arial"/>
                <w:sz w:val="21"/>
                <w:szCs w:val="21"/>
              </w:rPr>
              <w:t>2,95</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bottom w:val="nil"/>
            </w:tcBorders>
            <w:shd w:val="clear" w:color="auto" w:fill="ECCF74"/>
          </w:tcPr>
          <w:p>
            <w:pPr>
              <w:spacing w:after="0"/>
              <w:jc w:val="center"/>
              <w:rPr>
                <w:rFonts w:cs="Arial"/>
                <w:sz w:val="21"/>
                <w:szCs w:val="21"/>
              </w:rPr>
            </w:pPr>
          </w:p>
        </w:tc>
        <w:tc>
          <w:tcPr>
            <w:tcW w:w="1539" w:type="dxa"/>
            <w:tcBorders>
              <w:top w:val="nil"/>
              <w:bottom w:val="nil"/>
            </w:tcBorders>
            <w:shd w:val="clear" w:color="auto" w:fill="ECCF74"/>
          </w:tcPr>
          <w:p>
            <w:pPr>
              <w:spacing w:after="0"/>
              <w:jc w:val="center"/>
              <w:rPr>
                <w:rFonts w:cs="Arial"/>
                <w:sz w:val="21"/>
                <w:szCs w:val="21"/>
              </w:rPr>
            </w:pPr>
            <w:r>
              <w:rPr>
                <w:rFonts w:cs="Arial"/>
                <w:sz w:val="21"/>
                <w:szCs w:val="21"/>
              </w:rPr>
              <w:t>2</w:t>
            </w:r>
          </w:p>
        </w:tc>
        <w:tc>
          <w:tcPr>
            <w:tcW w:w="5811" w:type="dxa"/>
            <w:tcBorders>
              <w:top w:val="nil"/>
              <w:bottom w:val="nil"/>
            </w:tcBorders>
            <w:shd w:val="clear" w:color="auto" w:fill="ECCF74"/>
          </w:tcPr>
          <w:p>
            <w:pPr>
              <w:spacing w:after="0"/>
              <w:jc w:val="both"/>
              <w:rPr>
                <w:rFonts w:cs="Arial"/>
                <w:sz w:val="21"/>
                <w:szCs w:val="21"/>
              </w:rPr>
            </w:pPr>
            <w:r>
              <w:rPr>
                <w:rFonts w:cs="Arial"/>
                <w:sz w:val="21"/>
                <w:szCs w:val="21"/>
              </w:rPr>
              <w:t>Prosedur Pelayanan</w:t>
            </w:r>
          </w:p>
        </w:tc>
        <w:tc>
          <w:tcPr>
            <w:tcW w:w="2268" w:type="dxa"/>
            <w:tcBorders>
              <w:top w:val="nil"/>
              <w:bottom w:val="nil"/>
            </w:tcBorders>
            <w:shd w:val="clear" w:color="auto" w:fill="ECCF74"/>
          </w:tcPr>
          <w:p>
            <w:pPr>
              <w:spacing w:after="0"/>
              <w:jc w:val="center"/>
              <w:rPr>
                <w:rFonts w:cs="Arial"/>
                <w:sz w:val="21"/>
                <w:szCs w:val="21"/>
              </w:rPr>
            </w:pPr>
            <w:r>
              <w:rPr>
                <w:rFonts w:cs="Arial"/>
                <w:sz w:val="21"/>
                <w:szCs w:val="21"/>
              </w:rPr>
              <w:t>2,98</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jc w:val="center"/>
        </w:trPr>
        <w:tc>
          <w:tcPr>
            <w:tcW w:w="1479" w:type="dxa"/>
            <w:tcBorders>
              <w:top w:val="nil"/>
            </w:tcBorders>
            <w:shd w:val="clear" w:color="auto" w:fill="ECCF74"/>
          </w:tcPr>
          <w:p>
            <w:pPr>
              <w:spacing w:after="0"/>
              <w:jc w:val="center"/>
              <w:rPr>
                <w:rFonts w:cs="Arial"/>
                <w:sz w:val="21"/>
                <w:szCs w:val="21"/>
              </w:rPr>
            </w:pPr>
          </w:p>
        </w:tc>
        <w:tc>
          <w:tcPr>
            <w:tcW w:w="1539" w:type="dxa"/>
            <w:tcBorders>
              <w:top w:val="nil"/>
            </w:tcBorders>
            <w:shd w:val="clear" w:color="auto" w:fill="ECCF74"/>
          </w:tcPr>
          <w:p>
            <w:pPr>
              <w:spacing w:after="0"/>
              <w:jc w:val="center"/>
              <w:rPr>
                <w:rFonts w:cs="Arial"/>
                <w:sz w:val="21"/>
                <w:szCs w:val="21"/>
              </w:rPr>
            </w:pPr>
            <w:r>
              <w:rPr>
                <w:rFonts w:cs="Arial"/>
                <w:sz w:val="21"/>
                <w:szCs w:val="21"/>
              </w:rPr>
              <w:t>3</w:t>
            </w:r>
          </w:p>
        </w:tc>
        <w:tc>
          <w:tcPr>
            <w:tcW w:w="5811" w:type="dxa"/>
            <w:tcBorders>
              <w:top w:val="nil"/>
            </w:tcBorders>
            <w:shd w:val="clear" w:color="auto" w:fill="ECCF74"/>
          </w:tcPr>
          <w:p>
            <w:pPr>
              <w:spacing w:after="0"/>
              <w:jc w:val="both"/>
              <w:rPr>
                <w:rFonts w:cs="Arial"/>
                <w:sz w:val="21"/>
                <w:szCs w:val="21"/>
              </w:rPr>
            </w:pPr>
            <w:r>
              <w:rPr>
                <w:rFonts w:cs="Arial"/>
                <w:sz w:val="21"/>
                <w:szCs w:val="21"/>
              </w:rPr>
              <w:t>kenyamanan lingkungan</w:t>
            </w:r>
          </w:p>
        </w:tc>
        <w:tc>
          <w:tcPr>
            <w:tcW w:w="2268" w:type="dxa"/>
            <w:tcBorders>
              <w:top w:val="nil"/>
            </w:tcBorders>
            <w:shd w:val="clear" w:color="auto" w:fill="ECCF74"/>
          </w:tcPr>
          <w:p>
            <w:pPr>
              <w:spacing w:after="0"/>
              <w:jc w:val="center"/>
              <w:rPr>
                <w:rFonts w:cs="Arial"/>
                <w:sz w:val="21"/>
                <w:szCs w:val="21"/>
              </w:rPr>
            </w:pPr>
            <w:r>
              <w:rPr>
                <w:rFonts w:cs="Arial"/>
                <w:sz w:val="21"/>
                <w:szCs w:val="21"/>
              </w:rPr>
              <w:t>3,02</w:t>
            </w:r>
          </w:p>
        </w:tc>
      </w:tr>
    </w:tbl>
    <w:p>
      <w:pPr>
        <w:spacing w:line="360" w:lineRule="auto"/>
        <w:rPr>
          <w:b/>
        </w:rPr>
        <w:sectPr>
          <w:type w:val="continuous"/>
          <w:pgSz w:w="16839" w:h="11907" w:orient="landscape"/>
          <w:pgMar w:top="1440" w:right="1440" w:bottom="1440" w:left="1440" w:header="720" w:footer="60" w:gutter="0"/>
          <w:cols w:space="720" w:num="1"/>
          <w:docGrid w:linePitch="360" w:charSpace="0"/>
        </w:sectPr>
      </w:pPr>
    </w:p>
    <w:p>
      <w:pPr>
        <w:pStyle w:val="2"/>
        <w:rPr>
          <w:i/>
          <w:lang w:val="id-ID"/>
        </w:rPr>
      </w:pPr>
      <w:bookmarkStart w:id="26" w:name="_Toc431267226"/>
      <w:r>
        <w:t>III.</w:t>
      </w:r>
      <w:r>
        <w:rPr>
          <w:lang w:val="id-ID"/>
        </w:rPr>
        <w:t>MEMBANGUN AHS (</w:t>
      </w:r>
      <w:r>
        <w:rPr>
          <w:i/>
          <w:lang w:val="id-ID"/>
        </w:rPr>
        <w:t>ACADEMIC HEALTH SYSTEM</w:t>
      </w:r>
      <w:r>
        <w:rPr>
          <w:lang w:val="id-ID"/>
        </w:rPr>
        <w:t>) JAWA BARAT</w:t>
      </w:r>
      <w:bookmarkEnd w:id="26"/>
    </w:p>
    <w:p>
      <w:pPr>
        <w:pStyle w:val="3"/>
      </w:pPr>
      <w:bookmarkStart w:id="27" w:name="_Toc431267227"/>
      <w:r>
        <w:t>3.1 Integrasi Pelayanan-Pendidikan-Penelitian</w:t>
      </w:r>
      <w:bookmarkEnd w:id="27"/>
    </w:p>
    <w:p>
      <w:pPr>
        <w:ind w:firstLine="709"/>
        <w:jc w:val="both"/>
      </w:pPr>
      <w:r>
        <w:t xml:space="preserve">Dinamika tuntutan para </w:t>
      </w:r>
      <w:r>
        <w:rPr>
          <w:i/>
        </w:rPr>
        <w:t>stakeholders</w:t>
      </w:r>
      <w:r>
        <w:t xml:space="preserve"> kunci sistem kesehatan saat ini dan masa mendatang menuntut adanya perubahan dalam paradigma pengelolaan Sistem Kesehatan Nasional. Dinamika tuntutan para </w:t>
      </w:r>
      <w:r>
        <w:rPr>
          <w:i/>
        </w:rPr>
        <w:t>stakeholders</w:t>
      </w:r>
      <w:r>
        <w:t xml:space="preserve"> kunci tersebut melingkupi kebutuhan akan konsolidasi dan harmonisasi layanan kesehatan, peningkatan akses dan mutu layanan kesehatan nasional, dan kebutuhan akan efisiensi layanan kesehatan (</w:t>
      </w:r>
      <w:r>
        <w:rPr>
          <w:i/>
        </w:rPr>
        <w:t>A report from the AAMC Advisory Panel on Health Care,</w:t>
      </w:r>
      <w:r>
        <w:t xml:space="preserve"> 2014). Bagian signifikan atas tuntutan perubahan paradigma pengelolaan sistem layanan kesehatan nasional tersebut terletak pada semakin terintegrasinya pengelolaan pelayanan kesehatan, pendidikan dan penelitian di bidang ilmu kedokteran dan kesehatan masyarakat.  Perubahan paradigma tersebut mencakup bagaimana sistem layanan kesehatan diberikan; bagaimana para peserta didik kedokteran diedukasi dan diintegrasikan ke dalam sistem layanan kesehatan; bagaimana lembaga riset diorganisir dan didanai menunjang pelayanan dan penddikan; dan bagaimana misi organisasi dari berbagai pihak yang terlibat dalam sistem layanan kesehatan disatukan bersama-sama dengan sebuah cara baru yang sinergis dan bermakna. Mengacu kepada </w:t>
      </w:r>
      <w:r>
        <w:rPr>
          <w:i/>
        </w:rPr>
        <w:t>best practice</w:t>
      </w:r>
      <w:r>
        <w:t xml:space="preserve"> di dunia dalam pengelolaan kesehatan, integrasi tersebut sudah berkembang mulai dari bentuk AHC (</w:t>
      </w:r>
      <w:r>
        <w:rPr>
          <w:i/>
        </w:rPr>
        <w:t>academic health center</w:t>
      </w:r>
      <w:r>
        <w:t>, yang merupakan integrasi menyeluruh institusi pendidikan dan institusi layanan kesehatan) menjadi AHS (</w:t>
      </w:r>
      <w:r>
        <w:rPr>
          <w:i/>
        </w:rPr>
        <w:t>Academic Health System</w:t>
      </w:r>
      <w:r>
        <w:t>, yang merupakan kesatuan AHC dengan jejaring pelayanan dan pendidikannya). Konsep dasar AHC dapat dimaknai dari ungkapan berikut.</w:t>
      </w:r>
    </w:p>
    <w:p>
      <w:pPr>
        <w:ind w:left="709"/>
        <w:jc w:val="both"/>
        <w:rPr>
          <w:i/>
        </w:rPr>
      </w:pPr>
      <w:r>
        <w:rPr>
          <w:i/>
        </w:rPr>
        <w:t>AHC is not a single institution but a</w:t>
      </w:r>
      <w:r>
        <w:rPr>
          <w:i/>
          <w:lang w:val="id-ID"/>
        </w:rPr>
        <w:t xml:space="preserve"> </w:t>
      </w:r>
      <w:r>
        <w:rPr>
          <w:i/>
        </w:rPr>
        <w:t>constellation of functions and organizations committed to improving the health of patients and population through the Integration of</w:t>
      </w:r>
      <w:r>
        <w:rPr>
          <w:i/>
          <w:lang w:val="id-ID"/>
        </w:rPr>
        <w:t xml:space="preserve"> </w:t>
      </w:r>
      <w:r>
        <w:rPr>
          <w:i/>
        </w:rPr>
        <w:t>the irrolesin research, education and patient care to produce knowledge and evidence base that becomes the foundation for both treating illness</w:t>
      </w:r>
      <w:r>
        <w:rPr>
          <w:i/>
          <w:lang w:val="id-ID"/>
        </w:rPr>
        <w:t xml:space="preserve"> </w:t>
      </w:r>
      <w:r>
        <w:rPr>
          <w:i/>
        </w:rPr>
        <w:t>and improving health.  The integration involves more than the simultaneous provision of education, research and patient care.  It requires the purpose link age of the roles so that research develops the evidence base, patient care applies and refines the evidence</w:t>
      </w:r>
      <w:r>
        <w:rPr>
          <w:i/>
          <w:lang w:val="id-ID"/>
        </w:rPr>
        <w:t xml:space="preserve"> </w:t>
      </w:r>
      <w:r>
        <w:rPr>
          <w:i/>
        </w:rPr>
        <w:t>base and education teaches</w:t>
      </w:r>
      <w:r>
        <w:rPr>
          <w:i/>
          <w:lang w:val="id-ID"/>
        </w:rPr>
        <w:t xml:space="preserve"> </w:t>
      </w:r>
      <w:r>
        <w:rPr>
          <w:i/>
        </w:rPr>
        <w:t>evidence based and team-based approaches</w:t>
      </w:r>
      <w:r>
        <w:rPr>
          <w:i/>
          <w:lang w:val="id-ID"/>
        </w:rPr>
        <w:t xml:space="preserve"> </w:t>
      </w:r>
      <w:r>
        <w:rPr>
          <w:i/>
        </w:rPr>
        <w:t>to</w:t>
      </w:r>
      <w:r>
        <w:rPr>
          <w:i/>
          <w:lang w:val="id-ID"/>
        </w:rPr>
        <w:t xml:space="preserve"> </w:t>
      </w:r>
      <w:r>
        <w:rPr>
          <w:i/>
        </w:rPr>
        <w:t>care and</w:t>
      </w:r>
      <w:r>
        <w:rPr>
          <w:i/>
          <w:lang w:val="id-ID"/>
        </w:rPr>
        <w:t xml:space="preserve"> </w:t>
      </w:r>
      <w:r>
        <w:rPr>
          <w:i/>
        </w:rPr>
        <w:t>prevention (United States Academy of Science 2004)</w:t>
      </w:r>
    </w:p>
    <w:p>
      <w:pPr>
        <w:ind w:firstLine="709"/>
        <w:jc w:val="both"/>
      </w:pPr>
      <w:r>
        <w:t>Dalam konteks RSB ini, terbentuknya integrasi AHC RSHS-PMN RSMC-FKUP yang dituangkan dalam bentuk PKS merupakan langkah awal yang sangat strategis dengan beberapa alasan dan tujuan berikut:</w:t>
      </w:r>
    </w:p>
    <w:p>
      <w:pPr>
        <w:numPr>
          <w:ilvl w:val="1"/>
          <w:numId w:val="10"/>
        </w:numPr>
        <w:tabs>
          <w:tab w:val="clear" w:pos="1440"/>
        </w:tabs>
        <w:spacing w:after="0"/>
        <w:ind w:left="709"/>
        <w:jc w:val="both"/>
      </w:pPr>
      <w:r>
        <w:rPr>
          <w:i/>
        </w:rPr>
        <w:t>Best practice</w:t>
      </w:r>
      <w:r>
        <w:t xml:space="preserve"> di dunia menunjukkan bahwa 70% dari institusi kesehatan terbaik 20 dunia berbentuk integrasi AHC</w:t>
      </w:r>
    </w:p>
    <w:p>
      <w:pPr>
        <w:numPr>
          <w:ilvl w:val="1"/>
          <w:numId w:val="10"/>
        </w:numPr>
        <w:tabs>
          <w:tab w:val="clear" w:pos="1440"/>
        </w:tabs>
        <w:spacing w:after="0"/>
        <w:ind w:left="709"/>
        <w:jc w:val="both"/>
      </w:pPr>
      <w:r>
        <w:t xml:space="preserve">Untuk mewujudkan sinergi antara pelayanan, pendidikan dan penelitian. Sinergi ini akan meningkatkan kapasitas dan kompetensi institusi dalam penanganan kasus tersier dan akhirnya meningkatkan kepuasan </w:t>
      </w:r>
      <w:r>
        <w:rPr>
          <w:i/>
        </w:rPr>
        <w:t xml:space="preserve">stakeholders </w:t>
      </w:r>
      <w:r>
        <w:t>mulai dari staf, pasien, peserta didik dan pemerintah</w:t>
      </w:r>
    </w:p>
    <w:p>
      <w:pPr>
        <w:numPr>
          <w:ilvl w:val="1"/>
          <w:numId w:val="10"/>
        </w:numPr>
        <w:tabs>
          <w:tab w:val="clear" w:pos="1440"/>
        </w:tabs>
        <w:spacing w:after="0"/>
        <w:ind w:left="709"/>
        <w:jc w:val="both"/>
      </w:pPr>
      <w:r>
        <w:t>Untuk mewujudkan sinergi dalam penggunaan dan pengelolaan sumber daya secara bersama</w:t>
      </w:r>
    </w:p>
    <w:p>
      <w:pPr>
        <w:numPr>
          <w:ilvl w:val="1"/>
          <w:numId w:val="10"/>
        </w:numPr>
        <w:tabs>
          <w:tab w:val="clear" w:pos="1440"/>
        </w:tabs>
        <w:spacing w:after="0"/>
        <w:ind w:left="709"/>
        <w:jc w:val="both"/>
      </w:pPr>
      <w:r>
        <w:t>Untuk mewujudkan sinergi dalam pengembangan teknologi kesehatan yang semakin pesat perkembangannya</w:t>
      </w:r>
    </w:p>
    <w:p>
      <w:pPr>
        <w:numPr>
          <w:ilvl w:val="1"/>
          <w:numId w:val="10"/>
        </w:numPr>
        <w:tabs>
          <w:tab w:val="clear" w:pos="1440"/>
        </w:tabs>
        <w:spacing w:after="0"/>
        <w:ind w:left="709"/>
        <w:jc w:val="both"/>
      </w:pPr>
      <w:r>
        <w:t>Untuk mewujudkan sistem organisasi RSHS</w:t>
      </w:r>
      <w:r>
        <w:rPr>
          <w:color w:val="FF0000"/>
        </w:rPr>
        <w:t xml:space="preserve"> </w:t>
      </w:r>
      <w:r>
        <w:t xml:space="preserve">yang lebih efektif dalam menjalankan fungsi </w:t>
      </w:r>
      <w:r>
        <w:rPr>
          <w:i/>
        </w:rPr>
        <w:t xml:space="preserve">parenting </w:t>
      </w:r>
      <w:r>
        <w:t>bagi SMF/Departemen sehingga tidak terjadi birokrasi yang ganda dan tumpang tindih</w:t>
      </w:r>
    </w:p>
    <w:p>
      <w:pPr>
        <w:pStyle w:val="3"/>
      </w:pPr>
      <w:bookmarkStart w:id="28" w:name="_Toc431267228"/>
      <w:r>
        <w:t>3.2 Rancangan AHS Jawa Barat</w:t>
      </w:r>
      <w:bookmarkEnd w:id="28"/>
    </w:p>
    <w:p>
      <w:pPr>
        <w:ind w:firstLine="709"/>
        <w:jc w:val="both"/>
      </w:pPr>
      <w:r>
        <w:t>Jawa Barat merupakan provinsi dengan pendudukan terbesar di Indonesia. Terwujudnya AHS di Jawa Barat akan memiliki dampak yang sangat signifikan bagi terwujudnya visi kesehatan nasional. AHS Jawa Barat yang dimaksud merupakan integrasi antara RSHS dengan RS Regional Jawa Barat (yang dikelola oleh Provinsi Jawa Barat), dan RSUD Kota/Kab.</w:t>
      </w:r>
    </w:p>
    <w:p>
      <w:pPr>
        <w:ind w:firstLine="709"/>
        <w:jc w:val="both"/>
      </w:pPr>
      <w:r>
        <w:t>Dengan adanya AHS Jawa Barat ini diharapkan dapat diwujudkan:</w:t>
      </w:r>
    </w:p>
    <w:p>
      <w:pPr>
        <w:pStyle w:val="28"/>
        <w:numPr>
          <w:ilvl w:val="0"/>
          <w:numId w:val="11"/>
        </w:numPr>
        <w:jc w:val="both"/>
        <w:rPr>
          <w:i/>
        </w:rPr>
      </w:pPr>
      <w:r>
        <w:t>Peningkatan kapasitas AHC RSHS</w:t>
      </w:r>
      <w:r>
        <w:rPr>
          <w:color w:val="FF0000"/>
        </w:rPr>
        <w:t xml:space="preserve"> </w:t>
      </w:r>
      <w:r>
        <w:t xml:space="preserve">dalam penanganan kasus-kasus tersier dan dalam mewujudkan layanan unggulan sebagai </w:t>
      </w:r>
      <w:r>
        <w:rPr>
          <w:i/>
        </w:rPr>
        <w:t>center of excellent</w:t>
      </w:r>
    </w:p>
    <w:p>
      <w:pPr>
        <w:pStyle w:val="28"/>
        <w:numPr>
          <w:ilvl w:val="0"/>
          <w:numId w:val="11"/>
        </w:numPr>
        <w:jc w:val="both"/>
      </w:pPr>
      <w:r>
        <w:t>Percepatan pembinaan RS Jejaring, terutama RS Regional Jawa Barat</w:t>
      </w:r>
    </w:p>
    <w:p>
      <w:pPr>
        <w:pStyle w:val="28"/>
        <w:numPr>
          <w:ilvl w:val="0"/>
          <w:numId w:val="11"/>
        </w:numPr>
        <w:jc w:val="both"/>
      </w:pPr>
      <w:r>
        <w:t>Penguatan sistem rujukan mulai dari RSUD Kota/Kab ke RS Regional dan akhirnya ke RSHS</w:t>
      </w:r>
    </w:p>
    <w:p>
      <w:pPr>
        <w:pStyle w:val="28"/>
        <w:numPr>
          <w:ilvl w:val="0"/>
          <w:numId w:val="11"/>
        </w:numPr>
        <w:jc w:val="both"/>
      </w:pPr>
      <w:r>
        <w:t>Memperluas jangkauan sistem layanan kesehatan dengan lingkup kewilayahan yang lebih luas dan jasa kesehatan yang mencakup semua area kontinum layanan kesehatan (promotif, preventif, dan kuratif)</w:t>
      </w:r>
    </w:p>
    <w:p>
      <w:pPr>
        <w:pStyle w:val="28"/>
        <w:numPr>
          <w:ilvl w:val="0"/>
          <w:numId w:val="11"/>
        </w:numPr>
        <w:jc w:val="both"/>
      </w:pPr>
      <w:r>
        <w:t>Capaian indikator kinerja kesehatan Jawa Barat dan Nasional yang lebih baik</w:t>
      </w:r>
    </w:p>
    <w:p>
      <w:pPr>
        <w:pStyle w:val="28"/>
        <w:jc w:val="both"/>
      </w:pPr>
    </w:p>
    <w:p>
      <w:pPr>
        <w:pStyle w:val="3"/>
      </w:pPr>
      <w:bookmarkStart w:id="29" w:name="_Toc431267229"/>
      <w:r>
        <w:t>3.3 Tantangan Mewujudkan AHS Jawa Barat</w:t>
      </w:r>
      <w:bookmarkEnd w:id="29"/>
    </w:p>
    <w:p>
      <w:pPr>
        <w:ind w:firstLine="709"/>
        <w:jc w:val="both"/>
      </w:pPr>
      <w:r>
        <w:t xml:space="preserve">Mengacu kepada </w:t>
      </w:r>
      <w:r>
        <w:rPr>
          <w:i/>
        </w:rPr>
        <w:t>Advancing the Academic Health System for the Future</w:t>
      </w:r>
      <w:r>
        <w:t xml:space="preserve"> (2014), terdapat beberapa tantangan dalam mewujudkan AHS:</w:t>
      </w:r>
    </w:p>
    <w:p>
      <w:pPr>
        <w:pStyle w:val="28"/>
        <w:numPr>
          <w:ilvl w:val="0"/>
          <w:numId w:val="12"/>
        </w:numPr>
        <w:ind w:left="360"/>
        <w:jc w:val="both"/>
      </w:pPr>
      <w:r>
        <w:t xml:space="preserve">Mewujudkan tingkat integrasi yang paling optimal sehingga mampu mendorong pengembangan sistem informasi layanan kesehatan, pertukaran informasi kesehatan, layanan interdisiplin berbasis komunitas yang diperluas, manajemen penyakit kronis, program transisi dari rumah sakit ke </w:t>
      </w:r>
      <w:r>
        <w:rPr>
          <w:i/>
        </w:rPr>
        <w:t>homecare</w:t>
      </w:r>
      <w:r>
        <w:t xml:space="preserve">, teknologi monitoring </w:t>
      </w:r>
      <w:r>
        <w:rPr>
          <w:i/>
        </w:rPr>
        <w:t>remote</w:t>
      </w:r>
      <w:r>
        <w:t xml:space="preserve"> dan informasi terkini lainnya, dan banyak lagi dalam rangka memperbaiki mutu kesehatan masyarakat. Penyatuan ini juga akan mendorong pelibatan jaringan terpadu berbagai keahlian dokter, termasuk penggunaan protokol berbasis bukti (</w:t>
      </w:r>
      <w:r>
        <w:rPr>
          <w:i/>
        </w:rPr>
        <w:t>evidence based</w:t>
      </w:r>
      <w:r>
        <w:t>). Ada beberapa aspek integrasi AHS yang dibutuhkan, yakni :</w:t>
      </w:r>
    </w:p>
    <w:p>
      <w:pPr>
        <w:pStyle w:val="28"/>
        <w:numPr>
          <w:ilvl w:val="0"/>
          <w:numId w:val="13"/>
        </w:numPr>
        <w:jc w:val="both"/>
      </w:pPr>
      <w:r>
        <w:t>Integrasi organisasi : yang meliputi tata kelola, penyelarasan organisasi, pembangunan citra (</w:t>
      </w:r>
      <w:r>
        <w:rPr>
          <w:i/>
        </w:rPr>
        <w:t>branding</w:t>
      </w:r>
      <w:r>
        <w:t>), penyelarasan peran dokter, dll.</w:t>
      </w:r>
    </w:p>
    <w:p>
      <w:pPr>
        <w:pStyle w:val="28"/>
        <w:numPr>
          <w:ilvl w:val="0"/>
          <w:numId w:val="13"/>
        </w:numPr>
        <w:jc w:val="both"/>
      </w:pPr>
      <w:r>
        <w:t>Integrasi finansial : yang meliputi insentif finansial yang terselaraskan, manajemen biaya, dll.</w:t>
      </w:r>
    </w:p>
    <w:p>
      <w:pPr>
        <w:pStyle w:val="28"/>
        <w:numPr>
          <w:ilvl w:val="0"/>
          <w:numId w:val="13"/>
        </w:numPr>
        <w:jc w:val="both"/>
      </w:pPr>
      <w:r>
        <w:t>Integrasi layanan kesehatan : yang meliputi kontinum layanan, akses pada layanan kesehatan, koordinasi layanan kesehatan, model inovatif layanan kesehatan, dan integrasi layanan kesehatan.</w:t>
      </w:r>
    </w:p>
    <w:p>
      <w:pPr>
        <w:pStyle w:val="28"/>
        <w:numPr>
          <w:ilvl w:val="0"/>
          <w:numId w:val="13"/>
        </w:numPr>
        <w:jc w:val="both"/>
        <w:rPr>
          <w:i/>
        </w:rPr>
      </w:pPr>
      <w:r>
        <w:t xml:space="preserve">Integrasi informasi : yang meliputi infrastruktur pelaporan layanan kesehatan berbasis indikator keberhasilan, portal pasien, pertukaran informasi kesehatan, </w:t>
      </w:r>
      <w:r>
        <w:rPr>
          <w:i/>
        </w:rPr>
        <w:t>data warehousing/business inteligence.</w:t>
      </w:r>
    </w:p>
    <w:p>
      <w:pPr>
        <w:pStyle w:val="28"/>
        <w:jc w:val="both"/>
        <w:rPr>
          <w:i/>
        </w:rPr>
      </w:pPr>
    </w:p>
    <w:p>
      <w:pPr>
        <w:pStyle w:val="28"/>
        <w:numPr>
          <w:ilvl w:val="0"/>
          <w:numId w:val="12"/>
        </w:numPr>
        <w:ind w:left="360"/>
        <w:jc w:val="both"/>
      </w:pPr>
      <w:r>
        <w:t xml:space="preserve">AHS membutuhkan tata kelola, organisasi dan sistem manajemen yang kuat dan terselaraskan dalam rangka mewujudkan tujuan organisasinya.  Pekerjaan untuk membangun sistem layanan kesehatan berbasis AHS adalah proses yang tidak mudah. Dalam banyak kasus, eksekusi dari strategi sistem layanan kesehatan berbasis AHS membutuhkan disiplin tinggi dalam menurunkan biaya operasional dan meningkatkan penggunaan berbagai aset secara efisien, sambil secara serempak membangun pola kemitraan baru. Proses pengambilan keputusan berbasis konsensus tradisional dan fungsi-fungsi operasional organisasi yang berjalan sendiri-sendiri akan menghambat dan dinilai kontra-produktif. </w:t>
      </w:r>
    </w:p>
    <w:p>
      <w:pPr>
        <w:pStyle w:val="28"/>
        <w:ind w:left="360"/>
        <w:jc w:val="both"/>
      </w:pPr>
      <w:r>
        <w:t>Kemampuan organisasi yang baru juga perlu dibangun untuk menunjang keputusan dan rangkaian tindakan yang terintegrasi dan cepat dalam menjawab berbagai kebutuhan sistem layanan kesehatan. Sistem manajemen yang baru yang patut untuk dikembangkan di dalam sistem layanan kesehatan berbasis AHS antara lain adalah :</w:t>
      </w:r>
    </w:p>
    <w:p>
      <w:pPr>
        <w:pStyle w:val="28"/>
        <w:numPr>
          <w:ilvl w:val="0"/>
          <w:numId w:val="14"/>
        </w:numPr>
        <w:jc w:val="both"/>
      </w:pPr>
      <w:r>
        <w:t>Sistem informasi : Kemampuan organisasi untuk bergerak dalam sistem layanan kesehatan  dalam rangka mewujudkan kinerja operasional, kinerja medik, pengendalian aneka risiko organisasi, maupun kinerja finansial, sangat bergantung pada kualitas informasi yang mengalir dalam menunjang keputusan dan tindakan pada berbagai tingkatan dan fungsi operasional organisasi. Oleh karena itu, sebuah kebutuhan mendesak untuk menempatkan penataan sistem informasi sebagai salah satu agenda strategis yang disasar demi mewujudkan sistem layanan kesehatan berbasis AHS yang diidamkan.</w:t>
      </w:r>
    </w:p>
    <w:p>
      <w:pPr>
        <w:pStyle w:val="28"/>
        <w:numPr>
          <w:ilvl w:val="0"/>
          <w:numId w:val="14"/>
        </w:numPr>
        <w:jc w:val="both"/>
      </w:pPr>
      <w:r>
        <w:t>Sistem keuangan : kemampuan menggerakkan berbagai misi layanan kesehatan, pendidikan, dan riset kesehatan perlu ditunjang oleh dukungan finansial yang solid dan berkesinambungan. Untuk kepentingan tersebut, sistem layanan kesehatan berbasis AHS perlu menata kemampuannya dalam mengelola keuangan, yang bukan hanya mampu untuk memproyeksikan kebutuhan finansial di masa depan, namun juga mampu menyeimbangkan secara efektif dan efisien berbagai sumber daya finansial.</w:t>
      </w:r>
    </w:p>
    <w:p>
      <w:pPr>
        <w:pStyle w:val="28"/>
        <w:numPr>
          <w:ilvl w:val="0"/>
          <w:numId w:val="14"/>
        </w:numPr>
        <w:jc w:val="both"/>
      </w:pPr>
      <w:r>
        <w:t xml:space="preserve">Pembangunan kemampuan kepemimpinan : AHS yang diperkirakan sukses di masa depan akan berbasis pada struktur berbasis tim yang terdiri dari para eksekutif yang mumpuni dan ditunjang oleh sistem manajemen yang ekselen. Untuk mampu mengelola sistem layanan kesehatan berbasis AHS tersebut, kemampuan kepemimpinan merupakan sebuah kebutuhan utama yang demikian strategis. Kemampuan kepemimpinan ini merupakan modal dasar agar mampu menggerakkan segenap sumber daya dari sistem layanan kesehatan berbasis AHS untuk mencapai tujuan bersama agar sesuai dengan tuntutan para pemangku kepentingan utamanya. Oleh karena itu, prinsip kepemimpinan yang diperkirakan diperlukan untuk dibangun dalam sistem layanan kesehatan berbasis AHS antara lain adalah: </w:t>
      </w:r>
    </w:p>
    <w:p>
      <w:pPr>
        <w:pStyle w:val="28"/>
        <w:numPr>
          <w:ilvl w:val="0"/>
          <w:numId w:val="15"/>
        </w:numPr>
        <w:jc w:val="both"/>
      </w:pPr>
      <w:r>
        <w:rPr>
          <w:i/>
        </w:rPr>
        <w:t>Trust</w:t>
      </w:r>
      <w:r>
        <w:t xml:space="preserve"> (saling percaya) : basis kesuksesan AHS membutuhkan keyakinan bahwa para pemimpin dan tim percaya bekerja dengan mitra yang tepat</w:t>
      </w:r>
    </w:p>
    <w:p>
      <w:pPr>
        <w:pStyle w:val="28"/>
        <w:numPr>
          <w:ilvl w:val="0"/>
          <w:numId w:val="15"/>
        </w:numPr>
        <w:jc w:val="both"/>
      </w:pPr>
      <w:r>
        <w:t>Tujuan bersama (</w:t>
      </w:r>
      <w:r>
        <w:rPr>
          <w:i/>
        </w:rPr>
        <w:t>united direction</w:t>
      </w:r>
      <w:r>
        <w:t>): Para pemimpin yang berhasil dalam AHS mengutamakan pencapaian tujuan bersama sebagai prioritas utama ketimbang manfaat-manfaat yang bisa digapai oleh masing-masing organisasi yang tergabung dalam sistem layanan kesehatan berbasis AHS.</w:t>
      </w:r>
    </w:p>
    <w:p>
      <w:pPr>
        <w:pStyle w:val="28"/>
        <w:numPr>
          <w:ilvl w:val="0"/>
          <w:numId w:val="15"/>
        </w:numPr>
        <w:jc w:val="both"/>
      </w:pPr>
      <w:r>
        <w:t>Transparansi :  Kejelasan bersama dalam mencapai tujuan dan strategi bersama dan pemahaman bersama tentang capaian kinerja operasional, medik, dan finansial dalam AHS merupakan sebuah keharusan bagi berbagai tim agar berfungsi sebagaimana yang ditargetkan.</w:t>
      </w:r>
    </w:p>
    <w:p>
      <w:pPr>
        <w:pStyle w:val="28"/>
        <w:numPr>
          <w:ilvl w:val="0"/>
          <w:numId w:val="15"/>
        </w:numPr>
        <w:jc w:val="both"/>
      </w:pPr>
      <w:r>
        <w:t>Akuntabilitas : Tiap pemimpin harus akuntabel dalam mewujudkan tujuan dan strategi bersama dalam sistem layanan kesehatan berbasis AHS.</w:t>
      </w:r>
    </w:p>
    <w:p>
      <w:pPr>
        <w:pStyle w:val="28"/>
        <w:numPr>
          <w:ilvl w:val="0"/>
          <w:numId w:val="15"/>
        </w:numPr>
        <w:jc w:val="both"/>
      </w:pPr>
      <w:r>
        <w:t xml:space="preserve">Komunikasi : Para pemimpin dalam sistem layanan kesehatan berbasis AHS perlu memastikan bahwa informasi mengalir ke seluruh bagian organisasi. Para pemimpin tersebut hanya bisa mencapai tujuan bersamanya jika ada sistem komunikasi dan informasi yang membuat arahan pemimpin dari berbagai lapisan organisasi dapat dipahami oleh segenap personil dan unit organisasi yang bekerja dalam sistem layanan kesehatan berbasis AHS. </w:t>
      </w:r>
    </w:p>
    <w:p>
      <w:pPr>
        <w:pStyle w:val="28"/>
        <w:ind w:left="1440"/>
        <w:jc w:val="both"/>
      </w:pPr>
    </w:p>
    <w:p>
      <w:pPr>
        <w:pStyle w:val="28"/>
        <w:numPr>
          <w:ilvl w:val="0"/>
          <w:numId w:val="12"/>
        </w:numPr>
        <w:ind w:left="360"/>
        <w:jc w:val="both"/>
      </w:pPr>
      <w:r>
        <w:t>AHS membutuhkan transparansi dalam pengelolaannya. Fondasi atas rantai nilai pengelolaan sistem layanan kesehatan adalah transparansi atas biaya, kualitas, keamanan, efektivitas, pengalaman pasien, dan harga jasa kesehatan. Transparansi dalam segala aspek dari sistem layanan kesehatan merupakan kebutuhan bagi para pengguna jasa untuk dasar membandingkan berbagai biaya-biaya terkait, seperti obat, peralatan, perlakuan layanan, dan pemberi jasa layanan. Terlebih lagi, di era digital sekarang, tidak bisa dihindari bahwa informasi yang menjelaskan antara hasil dan biaya layanan kesehatan akan menjadi mudah tersedia secara luas di masyarakat. Ketersediaan informasi ini telah membawa pengaruh bagi para pengguna jasa dalam memutuskan opsi jenis layanan kesehatan yang dikehendakinya. Komitmen transparansi pada berbagai tingkatan sistem layanan kesehatan akan menyediakan dasar perbaikan berkelanjutan dan akuntabilitas. Implikasi bagi para pemimpin atas tuntutan transparansi pada berbagai tingkatan sistem layanan kesehatan membutuhkan ketrampilan sebagai berikut :</w:t>
      </w:r>
    </w:p>
    <w:p>
      <w:pPr>
        <w:pStyle w:val="28"/>
        <w:numPr>
          <w:ilvl w:val="0"/>
          <w:numId w:val="16"/>
        </w:numPr>
        <w:jc w:val="both"/>
      </w:pPr>
      <w:r>
        <w:t>Perencanaan mutu, operasi, finansial strategis yang terpadu.</w:t>
      </w:r>
    </w:p>
    <w:p>
      <w:pPr>
        <w:pStyle w:val="28"/>
        <w:numPr>
          <w:ilvl w:val="0"/>
          <w:numId w:val="16"/>
        </w:numPr>
        <w:jc w:val="both"/>
      </w:pPr>
      <w:r>
        <w:t>Berbagi informasi finansial, operasi, dan mutu yang melintasi semua silo organisasi dan satuan kerja operasi.</w:t>
      </w:r>
    </w:p>
    <w:p>
      <w:pPr>
        <w:pStyle w:val="28"/>
        <w:numPr>
          <w:ilvl w:val="0"/>
          <w:numId w:val="16"/>
        </w:numPr>
        <w:jc w:val="both"/>
      </w:pPr>
      <w:r>
        <w:t>Sistem pelaporan kinerja yang terbuka bagi masyarakat luas yang menginformasikan capaian-capaian aktual kinerja dibanding targetnya baik dari sisi mutu, harga, maupun kepuasan pasien.</w:t>
      </w:r>
    </w:p>
    <w:p>
      <w:pPr>
        <w:pStyle w:val="28"/>
        <w:numPr>
          <w:ilvl w:val="0"/>
          <w:numId w:val="16"/>
        </w:numPr>
        <w:jc w:val="both"/>
      </w:pPr>
      <w:r>
        <w:t>Budaya berbagi informasi, akuntabilitas bersama, dan orientasi hasil.</w:t>
      </w:r>
    </w:p>
    <w:p>
      <w:pPr>
        <w:pStyle w:val="28"/>
        <w:numPr>
          <w:ilvl w:val="0"/>
          <w:numId w:val="16"/>
        </w:numPr>
        <w:jc w:val="both"/>
      </w:pPr>
      <w:r>
        <w:t>Struktur akuntabilitas dalam sistem layanan kesehatan yang memampukan terlaksananya upaya-upaya perbaikan kinerja.</w:t>
      </w:r>
    </w:p>
    <w:p>
      <w:pPr>
        <w:pStyle w:val="28"/>
        <w:numPr>
          <w:ilvl w:val="0"/>
          <w:numId w:val="16"/>
        </w:numPr>
        <w:jc w:val="both"/>
      </w:pPr>
      <w:r>
        <w:t>Upaya-upaya advokasi nasional yang berkelanjutan yang menjelaskan kepada pengambil kebijakan, pengguna jasa, pembayar jasa, masyarakat luas tentang peran unik sistem layanan kesehatan dalam memberikan pendidikan dan riset kedokteran serta menyediakan jasa layanan kesehatan.</w:t>
      </w:r>
    </w:p>
    <w:p>
      <w:pPr>
        <w:pStyle w:val="28"/>
        <w:jc w:val="both"/>
      </w:pPr>
    </w:p>
    <w:p>
      <w:pPr>
        <w:pStyle w:val="28"/>
        <w:numPr>
          <w:ilvl w:val="0"/>
          <w:numId w:val="12"/>
        </w:numPr>
        <w:ind w:left="360"/>
        <w:jc w:val="both"/>
      </w:pPr>
      <w:r>
        <w:t xml:space="preserve">Dalam menghadapi persaingan dan demi kelangsungan misi jangka panjang, AHS membutuhkan restrukturisasi dalam model biaya operasi dan kinerja kualitas. Menyeimbangkan dan menyelaraskan tujuan-tujuan di atas dapat dicapai melalui sebuah model operasi sistem layanan kesehatan yang memadukan antara pola layanan kesehatan </w:t>
      </w:r>
      <w:r>
        <w:rPr>
          <w:i/>
        </w:rPr>
        <w:t>low cost</w:t>
      </w:r>
      <w:r>
        <w:t xml:space="preserve"> dan hasil-hasil yang disasar, mengoptimalkan kombinasi layanan untuk memperoleh pola layanan yang paling sesuai, dan memadukan proses manajemen dan disiplin operasi untuk mengevaluasi dan mendorong secara kontinu penurunan biaya layanan kesehatan.</w:t>
      </w:r>
    </w:p>
    <w:p>
      <w:pPr>
        <w:pStyle w:val="28"/>
        <w:ind w:left="360"/>
        <w:jc w:val="both"/>
      </w:pPr>
    </w:p>
    <w:p>
      <w:pPr>
        <w:pStyle w:val="28"/>
        <w:numPr>
          <w:ilvl w:val="0"/>
          <w:numId w:val="12"/>
        </w:numPr>
        <w:ind w:left="360"/>
        <w:jc w:val="both"/>
      </w:pPr>
      <w:r>
        <w:t>Pem</w:t>
      </w:r>
      <w:r>
        <w:rPr>
          <w:lang w:val="id-ID"/>
        </w:rPr>
        <w:t>i</w:t>
      </w:r>
      <w:r>
        <w:t>lihan strategi penumbuhan dan pengembangan AHS haruslah didasarkan atas asesmen jujur atas kekuatan dan kekurangan sistem yang ada saat ini demi perbaikan kontinu kinerja dan revitalisasi budaya organisasi. Berdasarkan hasil asesmen kekuatan dan kekurangan AHC tersebut dapat dikembangkan sebuah peta jalan (</w:t>
      </w:r>
      <w:r>
        <w:rPr>
          <w:i/>
        </w:rPr>
        <w:t>road map</w:t>
      </w:r>
      <w:r>
        <w:t>) perbaikan kontinu atas kinerja dan proses AHC agar tercapai tujuan sistem layanan kesehatan berbasis AHS.</w:t>
      </w:r>
    </w:p>
    <w:p>
      <w:pPr>
        <w:ind w:firstLine="709"/>
        <w:rPr>
          <w:lang w:val="id-ID"/>
        </w:rPr>
      </w:pPr>
      <w:r>
        <w:t>Lima tantangan di atas merupakan tantangan yang sama yang akan dihadapi oleh RSHS dalam mewujudkan AHS Jawa Barat.</w:t>
      </w:r>
    </w:p>
    <w:p>
      <w:pPr>
        <w:pStyle w:val="2"/>
      </w:pPr>
      <w:bookmarkStart w:id="30" w:name="_Toc431267230"/>
      <w:r>
        <w:rPr>
          <w:lang w:val="id-ID"/>
        </w:rPr>
        <w:t xml:space="preserve">IV. </w:t>
      </w:r>
      <w:r>
        <w:t>ARAH DAN PRIORITAS STRATEGIS</w:t>
      </w:r>
      <w:bookmarkEnd w:id="30"/>
    </w:p>
    <w:p>
      <w:pPr>
        <w:shd w:val="clear" w:color="auto" w:fill="C6D9F1"/>
        <w:spacing w:line="360" w:lineRule="auto"/>
        <w:jc w:val="both"/>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rPr>
          <w:szCs w:val="24"/>
        </w:rPr>
      </w:pPr>
      <w:r>
        <w:rPr>
          <w:szCs w:val="24"/>
        </w:rPr>
        <w:t xml:space="preserve">Arah ke mana sebuah institusi publik hendak diwujudkan di masa depan akan sangat tergantung pada dinamika tuntutan </w:t>
      </w:r>
      <w:r>
        <w:rPr>
          <w:i/>
          <w:szCs w:val="24"/>
        </w:rPr>
        <w:t>stakeholders</w:t>
      </w:r>
      <w:r>
        <w:rPr>
          <w:szCs w:val="24"/>
        </w:rPr>
        <w:t xml:space="preserve"> utama terhadap keberadaan institusi publik tersebut. Kondisi ini juga berlaku bagi RSHS, dalam mewujudkan visi dan misi. Kemampuan mengidentifikasi harapan dan kekhawatiran </w:t>
      </w:r>
      <w:r>
        <w:rPr>
          <w:i/>
          <w:szCs w:val="24"/>
        </w:rPr>
        <w:t xml:space="preserve">stakekolders </w:t>
      </w:r>
      <w:r>
        <w:rPr>
          <w:szCs w:val="24"/>
        </w:rPr>
        <w:t xml:space="preserve">utama sebagai prioritas dari tuntutan </w:t>
      </w:r>
      <w:r>
        <w:rPr>
          <w:i/>
          <w:szCs w:val="24"/>
        </w:rPr>
        <w:t>stakeholders</w:t>
      </w:r>
      <w:r>
        <w:rPr>
          <w:szCs w:val="24"/>
        </w:rPr>
        <w:t xml:space="preserve"> utama merupakan salah satu tahap kritis di awal dalam menentukan arah dan prioritas strategis pengelolaan RSHS di tahun-tahun mendatang. Selain itu, informasi tentang patok duga (</w:t>
      </w:r>
      <w:r>
        <w:rPr>
          <w:i/>
          <w:szCs w:val="24"/>
        </w:rPr>
        <w:t>benchmark</w:t>
      </w:r>
      <w:r>
        <w:rPr>
          <w:szCs w:val="24"/>
        </w:rPr>
        <w:t xml:space="preserve">) juga ikut menentukan arah dan prioritas strategis pengelolaan RSHS dalam menjalankan misi layanan, pendidikan, dan penelitiannya di masa mendatang. Untuk kepentingan ini, bagian ini akan menyajikan informasi tentang proyeksi tuntutan </w:t>
      </w:r>
      <w:r>
        <w:rPr>
          <w:i/>
          <w:szCs w:val="24"/>
        </w:rPr>
        <w:t>stakeholders</w:t>
      </w:r>
      <w:r>
        <w:rPr>
          <w:szCs w:val="24"/>
        </w:rPr>
        <w:t xml:space="preserve"> utama dan </w:t>
      </w:r>
      <w:r>
        <w:rPr>
          <w:i/>
          <w:szCs w:val="24"/>
        </w:rPr>
        <w:t>benchmark</w:t>
      </w:r>
      <w:r>
        <w:rPr>
          <w:szCs w:val="24"/>
        </w:rPr>
        <w:t xml:space="preserve"> yang kelak menentukan arah dan prioritas strategis renstra RSHS pada kurun waktu tahun 2015-2019. </w:t>
      </w:r>
    </w:p>
    <w:p>
      <w:pPr>
        <w:pStyle w:val="3"/>
        <w:rPr>
          <w:szCs w:val="24"/>
        </w:rPr>
      </w:pPr>
      <w:bookmarkStart w:id="31" w:name="_Toc431267231"/>
      <w:r>
        <w:rPr>
          <w:szCs w:val="24"/>
          <w:lang w:val="id-ID"/>
        </w:rPr>
        <w:t>4</w:t>
      </w:r>
      <w:r>
        <w:rPr>
          <w:szCs w:val="24"/>
        </w:rPr>
        <w:t xml:space="preserve">.1 Tuntutan </w:t>
      </w:r>
      <w:r>
        <w:rPr>
          <w:i/>
          <w:szCs w:val="24"/>
        </w:rPr>
        <w:t>Stakeholders</w:t>
      </w:r>
      <w:r>
        <w:rPr>
          <w:szCs w:val="24"/>
        </w:rPr>
        <w:t xml:space="preserve"> utama</w:t>
      </w:r>
      <w:bookmarkEnd w:id="31"/>
    </w:p>
    <w:p>
      <w:pPr>
        <w:spacing w:line="360" w:lineRule="auto"/>
        <w:jc w:val="both"/>
        <w:rPr>
          <w:szCs w:val="24"/>
        </w:rPr>
      </w:pPr>
      <w:r>
        <w:rPr>
          <w:szCs w:val="24"/>
        </w:rPr>
        <w:t xml:space="preserve">Bagian ini menyajikan informasi tentang harapan dan kekhawatiran yang menjadi prioritas para </w:t>
      </w:r>
      <w:r>
        <w:rPr>
          <w:i/>
          <w:szCs w:val="24"/>
        </w:rPr>
        <w:t>stakeholders</w:t>
      </w:r>
      <w:r>
        <w:rPr>
          <w:i/>
          <w:szCs w:val="24"/>
          <w:lang w:val="id-ID"/>
        </w:rPr>
        <w:t xml:space="preserve"> </w:t>
      </w:r>
      <w:r>
        <w:rPr>
          <w:szCs w:val="24"/>
        </w:rPr>
        <w:t>utama</w:t>
      </w:r>
      <w:r>
        <w:rPr>
          <w:szCs w:val="24"/>
          <w:lang w:val="id-ID"/>
        </w:rPr>
        <w:t xml:space="preserve"> </w:t>
      </w:r>
      <w:r>
        <w:rPr>
          <w:szCs w:val="24"/>
        </w:rPr>
        <w:t xml:space="preserve">RSHS pada kurun waktu tahun 2015-2019. Tabel 3.1 menyajikan informasi harapan dan kekhawatiran yang menjadi prioritas para </w:t>
      </w:r>
      <w:r>
        <w:rPr>
          <w:i/>
          <w:szCs w:val="24"/>
        </w:rPr>
        <w:t>stakeholders</w:t>
      </w:r>
      <w:r>
        <w:rPr>
          <w:i/>
          <w:szCs w:val="24"/>
          <w:lang w:val="id-ID"/>
        </w:rPr>
        <w:t xml:space="preserve"> </w:t>
      </w:r>
      <w:r>
        <w:rPr>
          <w:szCs w:val="24"/>
        </w:rPr>
        <w:t>utama terhadap RSHS.</w:t>
      </w:r>
    </w:p>
    <w:p>
      <w:pPr>
        <w:rPr>
          <w:b/>
          <w:szCs w:val="24"/>
        </w:rPr>
        <w:sectPr>
          <w:type w:val="continuous"/>
          <w:pgSz w:w="16839" w:h="11907" w:orient="landscape"/>
          <w:pgMar w:top="1440" w:right="1440" w:bottom="1440" w:left="1440" w:header="720" w:footer="60" w:gutter="0"/>
          <w:cols w:space="720" w:num="1"/>
          <w:docGrid w:linePitch="360" w:charSpace="0"/>
        </w:sectPr>
      </w:pPr>
    </w:p>
    <w:p>
      <w:pPr>
        <w:spacing w:after="0" w:line="240" w:lineRule="auto"/>
        <w:rPr>
          <w:b/>
          <w:bCs/>
          <w:szCs w:val="18"/>
        </w:rPr>
      </w:pPr>
      <w:bookmarkStart w:id="32" w:name="_Toc426658400"/>
      <w:r>
        <w:br w:type="page"/>
      </w:r>
    </w:p>
    <w:p>
      <w:pPr>
        <w:pStyle w:val="9"/>
        <w:sectPr>
          <w:type w:val="continuous"/>
          <w:pgSz w:w="16839" w:h="11907" w:orient="landscape"/>
          <w:pgMar w:top="1440" w:right="1440" w:bottom="1440" w:left="1440" w:header="720" w:footer="60" w:gutter="0"/>
          <w:cols w:space="720" w:num="1"/>
          <w:docGrid w:linePitch="360" w:charSpace="0"/>
        </w:sectPr>
      </w:pPr>
    </w:p>
    <w:p>
      <w:pPr>
        <w:pStyle w:val="9"/>
        <w:rPr>
          <w:sz w:val="6"/>
          <w:szCs w:val="6"/>
        </w:rPr>
      </w:pPr>
      <w:bookmarkStart w:id="33" w:name="_Toc430523098"/>
      <w:r>
        <w:t xml:space="preserve">Tabel 4. </w:t>
      </w:r>
      <w:r>
        <w:fldChar w:fldCharType="begin"/>
      </w:r>
      <w:r>
        <w:instrText xml:space="preserve"> SEQ Tabel_4. \* ARABIC </w:instrText>
      </w:r>
      <w:r>
        <w:fldChar w:fldCharType="separate"/>
      </w:r>
      <w:r>
        <w:t>1</w:t>
      </w:r>
      <w:r>
        <w:fldChar w:fldCharType="end"/>
      </w:r>
      <w:r>
        <w:t xml:space="preserve"> Harapan dan Kekhawatiran Utama </w:t>
      </w:r>
      <w:r>
        <w:rPr>
          <w:i/>
        </w:rPr>
        <w:t>Stakeholder</w:t>
      </w:r>
      <w:r>
        <w:t xml:space="preserve"> Utama</w:t>
      </w:r>
      <w:bookmarkEnd w:id="32"/>
      <w:bookmarkEnd w:id="33"/>
    </w:p>
    <w:tbl>
      <w:tblPr>
        <w:tblStyle w:val="26"/>
        <w:tblW w:w="13939" w:type="dxa"/>
        <w:tblInd w:w="0" w:type="dxa"/>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
      <w:tblGrid>
        <w:gridCol w:w="695"/>
        <w:gridCol w:w="3239"/>
        <w:gridCol w:w="10005"/>
      </w:tblGrid>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221" w:hRule="atLeast"/>
          <w:tblHeader/>
        </w:trPr>
        <w:tc>
          <w:tcPr>
            <w:tcW w:w="695" w:type="dxa"/>
            <w:shd w:val="clear" w:color="auto" w:fill="259073" w:themeFill="accent2"/>
            <w:tcMar>
              <w:top w:w="27" w:type="dxa"/>
              <w:left w:w="54" w:type="dxa"/>
              <w:bottom w:w="27" w:type="dxa"/>
              <w:right w:w="54" w:type="dxa"/>
            </w:tcMar>
          </w:tcPr>
          <w:p>
            <w:pPr>
              <w:spacing w:after="0" w:line="240" w:lineRule="auto"/>
              <w:jc w:val="center"/>
              <w:rPr>
                <w:color w:val="FFFFFF"/>
              </w:rPr>
            </w:pPr>
            <w:r>
              <w:rPr>
                <w:b/>
                <w:bCs/>
                <w:color w:val="FFFFFF"/>
              </w:rPr>
              <w:t>No</w:t>
            </w:r>
          </w:p>
        </w:tc>
        <w:tc>
          <w:tcPr>
            <w:tcW w:w="3239" w:type="dxa"/>
            <w:shd w:val="clear" w:color="auto" w:fill="259073" w:themeFill="accent2"/>
            <w:tcMar>
              <w:top w:w="27" w:type="dxa"/>
              <w:left w:w="54" w:type="dxa"/>
              <w:bottom w:w="27" w:type="dxa"/>
              <w:right w:w="54" w:type="dxa"/>
            </w:tcMar>
          </w:tcPr>
          <w:p>
            <w:pPr>
              <w:spacing w:after="0" w:line="240" w:lineRule="auto"/>
              <w:jc w:val="center"/>
              <w:rPr>
                <w:color w:val="FFFFFF"/>
              </w:rPr>
            </w:pPr>
            <w:r>
              <w:rPr>
                <w:b/>
                <w:bCs/>
                <w:i/>
                <w:color w:val="FFFFFF"/>
              </w:rPr>
              <w:t>Stakeholder</w:t>
            </w:r>
          </w:p>
        </w:tc>
        <w:tc>
          <w:tcPr>
            <w:tcW w:w="10005" w:type="dxa"/>
            <w:shd w:val="clear" w:color="auto" w:fill="259073" w:themeFill="accent2"/>
            <w:tcMar>
              <w:top w:w="27" w:type="dxa"/>
              <w:left w:w="54" w:type="dxa"/>
              <w:bottom w:w="27" w:type="dxa"/>
              <w:right w:w="54" w:type="dxa"/>
            </w:tcMar>
          </w:tcPr>
          <w:p>
            <w:pPr>
              <w:spacing w:after="0" w:line="240" w:lineRule="auto"/>
              <w:jc w:val="center"/>
              <w:rPr>
                <w:color w:val="FFFFFF"/>
              </w:rPr>
            </w:pPr>
            <w:r>
              <w:rPr>
                <w:b/>
                <w:bCs/>
                <w:color w:val="FFFFFF"/>
              </w:rPr>
              <w:t>Harapan</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1077" w:hRule="atLeast"/>
        </w:trPr>
        <w:tc>
          <w:tcPr>
            <w:tcW w:w="695" w:type="dxa"/>
            <w:shd w:val="clear" w:color="auto" w:fill="EBCC6E"/>
            <w:tcMar>
              <w:top w:w="27" w:type="dxa"/>
              <w:left w:w="54" w:type="dxa"/>
              <w:bottom w:w="27" w:type="dxa"/>
              <w:right w:w="54" w:type="dxa"/>
            </w:tcMar>
          </w:tcPr>
          <w:p>
            <w:pPr>
              <w:spacing w:after="0" w:line="240" w:lineRule="auto"/>
              <w:jc w:val="both"/>
            </w:pPr>
            <w:r>
              <w:t>1</w:t>
            </w:r>
          </w:p>
        </w:tc>
        <w:tc>
          <w:tcPr>
            <w:tcW w:w="3239" w:type="dxa"/>
            <w:shd w:val="clear" w:color="auto" w:fill="EBCC6E"/>
            <w:tcMar>
              <w:top w:w="27" w:type="dxa"/>
              <w:left w:w="54" w:type="dxa"/>
              <w:bottom w:w="27" w:type="dxa"/>
              <w:right w:w="54" w:type="dxa"/>
            </w:tcMar>
          </w:tcPr>
          <w:p>
            <w:pPr>
              <w:spacing w:after="0" w:line="240" w:lineRule="auto"/>
              <w:jc w:val="both"/>
            </w:pPr>
            <w:r>
              <w:t>Kementerian Kesehatan</w:t>
            </w:r>
          </w:p>
        </w:tc>
        <w:tc>
          <w:tcPr>
            <w:tcW w:w="10005" w:type="dxa"/>
            <w:shd w:val="clear" w:color="auto" w:fill="EBCC6E"/>
            <w:tcMar>
              <w:top w:w="27" w:type="dxa"/>
              <w:left w:w="54" w:type="dxa"/>
              <w:bottom w:w="27" w:type="dxa"/>
              <w:right w:w="54" w:type="dxa"/>
            </w:tcMar>
          </w:tcPr>
          <w:p>
            <w:pPr>
              <w:spacing w:after="0" w:line="240" w:lineRule="auto"/>
              <w:jc w:val="both"/>
            </w:pPr>
            <w:r>
              <w:t>RSHS menjadi AHS</w:t>
            </w:r>
          </w:p>
          <w:p>
            <w:pPr>
              <w:numPr>
                <w:ilvl w:val="0"/>
                <w:numId w:val="17"/>
              </w:numPr>
              <w:spacing w:after="0" w:line="240" w:lineRule="auto"/>
              <w:jc w:val="both"/>
            </w:pPr>
            <w:r>
              <w:t xml:space="preserve">Peningkatan kemampuan pada penanganan kasus tersier </w:t>
            </w:r>
          </w:p>
          <w:p>
            <w:pPr>
              <w:numPr>
                <w:ilvl w:val="0"/>
                <w:numId w:val="17"/>
              </w:numPr>
              <w:spacing w:after="0" w:line="240" w:lineRule="auto"/>
              <w:jc w:val="both"/>
            </w:pPr>
            <w:r>
              <w:t>Minimal 2 layanan unggulan dan mengampu RS Regional</w:t>
            </w:r>
          </w:p>
          <w:p>
            <w:pPr>
              <w:numPr>
                <w:ilvl w:val="0"/>
                <w:numId w:val="17"/>
              </w:numPr>
              <w:spacing w:after="0" w:line="240" w:lineRule="auto"/>
              <w:jc w:val="both"/>
            </w:pPr>
            <w:r>
              <w:t>Integrasi pelayanan, pendidikan, dan penelitian serta fungsi penapisan teknologi (HTA)</w:t>
            </w:r>
          </w:p>
          <w:p>
            <w:pPr>
              <w:numPr>
                <w:ilvl w:val="0"/>
                <w:numId w:val="17"/>
              </w:numPr>
              <w:spacing w:after="0" w:line="240" w:lineRule="auto"/>
              <w:jc w:val="both"/>
            </w:pPr>
            <w:r>
              <w:t>Akreditasi internasional, dan rekomendasi kebijakan kepada pemerintah</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1224" w:hRule="atLeast"/>
        </w:trPr>
        <w:tc>
          <w:tcPr>
            <w:tcW w:w="695" w:type="dxa"/>
            <w:shd w:val="clear" w:color="auto" w:fill="EBCC6E"/>
            <w:tcMar>
              <w:top w:w="27" w:type="dxa"/>
              <w:left w:w="54" w:type="dxa"/>
              <w:bottom w:w="27" w:type="dxa"/>
              <w:right w:w="54" w:type="dxa"/>
            </w:tcMar>
          </w:tcPr>
          <w:p>
            <w:pPr>
              <w:spacing w:after="0" w:line="240" w:lineRule="auto"/>
              <w:jc w:val="both"/>
            </w:pPr>
            <w:r>
              <w:t>2</w:t>
            </w:r>
          </w:p>
        </w:tc>
        <w:tc>
          <w:tcPr>
            <w:tcW w:w="3239" w:type="dxa"/>
            <w:shd w:val="clear" w:color="auto" w:fill="EBCC6E"/>
            <w:tcMar>
              <w:top w:w="27" w:type="dxa"/>
              <w:left w:w="54" w:type="dxa"/>
              <w:bottom w:w="27" w:type="dxa"/>
              <w:right w:w="54" w:type="dxa"/>
            </w:tcMar>
          </w:tcPr>
          <w:p>
            <w:pPr>
              <w:spacing w:after="0" w:line="240" w:lineRule="auto"/>
              <w:jc w:val="both"/>
            </w:pPr>
            <w:r>
              <w:t xml:space="preserve">Kementerian Riset &amp;Pendidikan Tinggi </w:t>
            </w:r>
          </w:p>
        </w:tc>
        <w:tc>
          <w:tcPr>
            <w:tcW w:w="10005" w:type="dxa"/>
            <w:shd w:val="clear" w:color="auto" w:fill="EBCC6E"/>
            <w:tcMar>
              <w:top w:w="27" w:type="dxa"/>
              <w:left w:w="54" w:type="dxa"/>
              <w:bottom w:w="27" w:type="dxa"/>
              <w:right w:w="54" w:type="dxa"/>
            </w:tcMar>
          </w:tcPr>
          <w:p>
            <w:pPr>
              <w:spacing w:after="0" w:line="240" w:lineRule="auto"/>
              <w:jc w:val="both"/>
            </w:pPr>
            <w:r>
              <w:t>Kontribusi pada pembangunan nasional (transformatif) dan meningkatkan daya saing bangsa</w:t>
            </w:r>
          </w:p>
          <w:p>
            <w:pPr>
              <w:numPr>
                <w:ilvl w:val="0"/>
                <w:numId w:val="18"/>
              </w:numPr>
              <w:spacing w:after="0" w:line="240" w:lineRule="auto"/>
              <w:jc w:val="both"/>
            </w:pPr>
            <w:r>
              <w:t>Tanggung jawab kewilayahan</w:t>
            </w:r>
          </w:p>
          <w:p>
            <w:pPr>
              <w:numPr>
                <w:ilvl w:val="0"/>
                <w:numId w:val="18"/>
              </w:numPr>
              <w:spacing w:after="0" w:line="240" w:lineRule="auto"/>
              <w:jc w:val="both"/>
            </w:pPr>
            <w:r>
              <w:t>Fungsi pengembangan ilmu (sub-spesialis) dengan lulusan yang berdaya saing global</w:t>
            </w:r>
          </w:p>
          <w:p>
            <w:pPr>
              <w:numPr>
                <w:ilvl w:val="0"/>
                <w:numId w:val="18"/>
              </w:numPr>
              <w:spacing w:after="0" w:line="240" w:lineRule="auto"/>
              <w:jc w:val="both"/>
            </w:pPr>
            <w:r>
              <w:t>Akreditasi internasional</w:t>
            </w:r>
          </w:p>
          <w:p>
            <w:pPr>
              <w:numPr>
                <w:ilvl w:val="0"/>
                <w:numId w:val="18"/>
              </w:numPr>
              <w:spacing w:after="0" w:line="240" w:lineRule="auto"/>
              <w:jc w:val="both"/>
            </w:pPr>
            <w:r>
              <w:t>Dokter layanan primer</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573" w:hRule="atLeast"/>
        </w:trPr>
        <w:tc>
          <w:tcPr>
            <w:tcW w:w="695" w:type="dxa"/>
            <w:shd w:val="clear" w:color="auto" w:fill="EBCC6E"/>
            <w:tcMar>
              <w:top w:w="27" w:type="dxa"/>
              <w:left w:w="54" w:type="dxa"/>
              <w:bottom w:w="27" w:type="dxa"/>
              <w:right w:w="54" w:type="dxa"/>
            </w:tcMar>
          </w:tcPr>
          <w:p>
            <w:pPr>
              <w:spacing w:after="0" w:line="240" w:lineRule="auto"/>
              <w:jc w:val="both"/>
            </w:pPr>
            <w:r>
              <w:t>3</w:t>
            </w:r>
          </w:p>
        </w:tc>
        <w:tc>
          <w:tcPr>
            <w:tcW w:w="3239" w:type="dxa"/>
            <w:shd w:val="clear" w:color="auto" w:fill="EBCC6E"/>
            <w:tcMar>
              <w:top w:w="27" w:type="dxa"/>
              <w:left w:w="54" w:type="dxa"/>
              <w:bottom w:w="27" w:type="dxa"/>
              <w:right w:w="54" w:type="dxa"/>
            </w:tcMar>
          </w:tcPr>
          <w:p>
            <w:pPr>
              <w:spacing w:after="0" w:line="240" w:lineRule="auto"/>
              <w:jc w:val="both"/>
            </w:pPr>
            <w:r>
              <w:t>Pemprov Jawa Barat</w:t>
            </w:r>
          </w:p>
        </w:tc>
        <w:tc>
          <w:tcPr>
            <w:tcW w:w="10005" w:type="dxa"/>
            <w:shd w:val="clear" w:color="auto" w:fill="EBCC6E"/>
            <w:tcMar>
              <w:top w:w="27" w:type="dxa"/>
              <w:left w:w="54" w:type="dxa"/>
              <w:bottom w:w="27" w:type="dxa"/>
              <w:right w:w="54" w:type="dxa"/>
            </w:tcMar>
          </w:tcPr>
          <w:p>
            <w:pPr>
              <w:spacing w:after="0" w:line="240" w:lineRule="auto"/>
              <w:jc w:val="both"/>
            </w:pPr>
            <w:r>
              <w:t>Meningkatkan akses dan cakupan layanan yang merata</w:t>
            </w:r>
          </w:p>
          <w:p>
            <w:pPr>
              <w:numPr>
                <w:ilvl w:val="0"/>
                <w:numId w:val="19"/>
              </w:numPr>
              <w:spacing w:after="0" w:line="240" w:lineRule="auto"/>
              <w:jc w:val="both"/>
            </w:pPr>
            <w:r>
              <w:t>Lulusan untuk memenuhi kebutuhan Jawa Barat</w:t>
            </w:r>
          </w:p>
          <w:p>
            <w:pPr>
              <w:numPr>
                <w:ilvl w:val="0"/>
                <w:numId w:val="19"/>
              </w:numPr>
              <w:spacing w:after="0" w:line="240" w:lineRule="auto"/>
              <w:jc w:val="both"/>
            </w:pPr>
            <w:r>
              <w:t>Membina RS Regional</w:t>
            </w:r>
          </w:p>
          <w:p>
            <w:pPr>
              <w:numPr>
                <w:ilvl w:val="0"/>
                <w:numId w:val="19"/>
              </w:numPr>
              <w:spacing w:after="0" w:line="240" w:lineRule="auto"/>
              <w:jc w:val="both"/>
            </w:pPr>
            <w:r>
              <w:t>Kontribusi untuk pencapaian target indikator kesehatan Jawa Barat</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650" w:hRule="atLeast"/>
        </w:trPr>
        <w:tc>
          <w:tcPr>
            <w:tcW w:w="695" w:type="dxa"/>
            <w:shd w:val="clear" w:color="auto" w:fill="EBCC6E"/>
            <w:tcMar>
              <w:top w:w="27" w:type="dxa"/>
              <w:left w:w="54" w:type="dxa"/>
              <w:bottom w:w="27" w:type="dxa"/>
              <w:right w:w="54" w:type="dxa"/>
            </w:tcMar>
          </w:tcPr>
          <w:p>
            <w:pPr>
              <w:spacing w:after="0" w:line="240" w:lineRule="auto"/>
              <w:jc w:val="both"/>
            </w:pPr>
            <w:r>
              <w:t>4</w:t>
            </w:r>
          </w:p>
        </w:tc>
        <w:tc>
          <w:tcPr>
            <w:tcW w:w="3239" w:type="dxa"/>
            <w:shd w:val="clear" w:color="auto" w:fill="EBCC6E"/>
            <w:tcMar>
              <w:top w:w="27" w:type="dxa"/>
              <w:left w:w="54" w:type="dxa"/>
              <w:bottom w:w="27" w:type="dxa"/>
              <w:right w:w="54" w:type="dxa"/>
            </w:tcMar>
          </w:tcPr>
          <w:p>
            <w:pPr>
              <w:spacing w:after="0" w:line="240" w:lineRule="auto"/>
              <w:jc w:val="both"/>
            </w:pPr>
            <w:r>
              <w:t>Kementerian Keuangan</w:t>
            </w:r>
          </w:p>
        </w:tc>
        <w:tc>
          <w:tcPr>
            <w:tcW w:w="10005" w:type="dxa"/>
            <w:shd w:val="clear" w:color="auto" w:fill="EBCC6E"/>
            <w:tcMar>
              <w:top w:w="27" w:type="dxa"/>
              <w:left w:w="54" w:type="dxa"/>
              <w:bottom w:w="27" w:type="dxa"/>
              <w:right w:w="54" w:type="dxa"/>
            </w:tcMar>
          </w:tcPr>
          <w:p>
            <w:pPr>
              <w:spacing w:after="0" w:line="240" w:lineRule="auto"/>
              <w:jc w:val="both"/>
            </w:pPr>
            <w:r>
              <w:t xml:space="preserve">Transprasansi,  akuntabilitas, WTP, kemandirian dalam anggaran, pencapaian target-target kinerja finansial, </w:t>
            </w:r>
            <w:r>
              <w:rPr>
                <w:i/>
              </w:rPr>
              <w:t>cost-effectiveness</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662" w:hRule="atLeast"/>
        </w:trPr>
        <w:tc>
          <w:tcPr>
            <w:tcW w:w="695" w:type="dxa"/>
            <w:shd w:val="clear" w:color="auto" w:fill="EBCC6E"/>
            <w:tcMar>
              <w:top w:w="27" w:type="dxa"/>
              <w:left w:w="54" w:type="dxa"/>
              <w:bottom w:w="27" w:type="dxa"/>
              <w:right w:w="54" w:type="dxa"/>
            </w:tcMar>
          </w:tcPr>
          <w:p>
            <w:pPr>
              <w:spacing w:after="0" w:line="240" w:lineRule="auto"/>
              <w:jc w:val="both"/>
            </w:pPr>
            <w:r>
              <w:t>5</w:t>
            </w:r>
          </w:p>
        </w:tc>
        <w:tc>
          <w:tcPr>
            <w:tcW w:w="3239" w:type="dxa"/>
            <w:shd w:val="clear" w:color="auto" w:fill="EBCC6E"/>
            <w:tcMar>
              <w:top w:w="27" w:type="dxa"/>
              <w:left w:w="54" w:type="dxa"/>
              <w:bottom w:w="27" w:type="dxa"/>
              <w:right w:w="54" w:type="dxa"/>
            </w:tcMar>
          </w:tcPr>
          <w:p>
            <w:pPr>
              <w:spacing w:after="0" w:line="240" w:lineRule="auto"/>
              <w:jc w:val="both"/>
            </w:pPr>
            <w:r>
              <w:t>Universitas Padjajaran</w:t>
            </w:r>
          </w:p>
        </w:tc>
        <w:tc>
          <w:tcPr>
            <w:tcW w:w="10005" w:type="dxa"/>
            <w:shd w:val="clear" w:color="auto" w:fill="EBCC6E"/>
            <w:tcMar>
              <w:top w:w="27" w:type="dxa"/>
              <w:left w:w="54" w:type="dxa"/>
              <w:bottom w:w="27" w:type="dxa"/>
              <w:right w:w="54" w:type="dxa"/>
            </w:tcMar>
          </w:tcPr>
          <w:p>
            <w:pPr>
              <w:spacing w:after="0" w:line="240" w:lineRule="auto"/>
              <w:jc w:val="both"/>
            </w:pPr>
            <w:r>
              <w:t>Mendapatkan privilege dalam pelayanan, menjadi model sinergi, bidang kesehatan menjadi lokomotif untuk merangkul rumpun ilmu kesehatan</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237" w:hRule="atLeast"/>
        </w:trPr>
        <w:tc>
          <w:tcPr>
            <w:tcW w:w="695" w:type="dxa"/>
            <w:shd w:val="clear" w:color="auto" w:fill="EBCC6E"/>
            <w:tcMar>
              <w:top w:w="27" w:type="dxa"/>
              <w:left w:w="54" w:type="dxa"/>
              <w:bottom w:w="27" w:type="dxa"/>
              <w:right w:w="54" w:type="dxa"/>
            </w:tcMar>
          </w:tcPr>
          <w:p>
            <w:pPr>
              <w:spacing w:after="0" w:line="240" w:lineRule="auto"/>
              <w:jc w:val="both"/>
            </w:pPr>
            <w:r>
              <w:t>6</w:t>
            </w:r>
          </w:p>
        </w:tc>
        <w:tc>
          <w:tcPr>
            <w:tcW w:w="3239" w:type="dxa"/>
            <w:shd w:val="clear" w:color="auto" w:fill="EBCC6E"/>
            <w:tcMar>
              <w:top w:w="27" w:type="dxa"/>
              <w:left w:w="54" w:type="dxa"/>
              <w:bottom w:w="27" w:type="dxa"/>
              <w:right w:w="54" w:type="dxa"/>
            </w:tcMar>
          </w:tcPr>
          <w:p>
            <w:pPr>
              <w:spacing w:after="0" w:line="240" w:lineRule="auto"/>
              <w:jc w:val="both"/>
            </w:pPr>
            <w:r>
              <w:t>Pasien</w:t>
            </w:r>
          </w:p>
        </w:tc>
        <w:tc>
          <w:tcPr>
            <w:tcW w:w="10005" w:type="dxa"/>
            <w:shd w:val="clear" w:color="auto" w:fill="EBCC6E"/>
            <w:tcMar>
              <w:top w:w="27" w:type="dxa"/>
              <w:left w:w="54" w:type="dxa"/>
              <w:bottom w:w="27" w:type="dxa"/>
              <w:right w:w="54" w:type="dxa"/>
            </w:tcMar>
          </w:tcPr>
          <w:p>
            <w:pPr>
              <w:spacing w:after="0" w:line="240" w:lineRule="auto"/>
              <w:jc w:val="both"/>
            </w:pPr>
            <w:r>
              <w:t>Layanan terbaik (responsif, aman, ramah)</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573" w:hRule="atLeast"/>
        </w:trPr>
        <w:tc>
          <w:tcPr>
            <w:tcW w:w="695" w:type="dxa"/>
            <w:shd w:val="clear" w:color="auto" w:fill="EBCC6E"/>
            <w:tcMar>
              <w:top w:w="27" w:type="dxa"/>
              <w:left w:w="54" w:type="dxa"/>
              <w:bottom w:w="27" w:type="dxa"/>
              <w:right w:w="54" w:type="dxa"/>
            </w:tcMar>
          </w:tcPr>
          <w:p>
            <w:pPr>
              <w:spacing w:after="0" w:line="240" w:lineRule="auto"/>
              <w:jc w:val="both"/>
            </w:pPr>
            <w:r>
              <w:t>7</w:t>
            </w:r>
          </w:p>
        </w:tc>
        <w:tc>
          <w:tcPr>
            <w:tcW w:w="3239" w:type="dxa"/>
            <w:shd w:val="clear" w:color="auto" w:fill="EBCC6E"/>
            <w:tcMar>
              <w:top w:w="27" w:type="dxa"/>
              <w:left w:w="54" w:type="dxa"/>
              <w:bottom w:w="27" w:type="dxa"/>
              <w:right w:w="54" w:type="dxa"/>
            </w:tcMar>
          </w:tcPr>
          <w:p>
            <w:pPr>
              <w:spacing w:after="0" w:line="240" w:lineRule="auto"/>
              <w:jc w:val="both"/>
            </w:pPr>
            <w:r>
              <w:t>Peserta Didik</w:t>
            </w:r>
          </w:p>
        </w:tc>
        <w:tc>
          <w:tcPr>
            <w:tcW w:w="10005" w:type="dxa"/>
            <w:shd w:val="clear" w:color="auto" w:fill="EBCC6E"/>
            <w:tcMar>
              <w:top w:w="27" w:type="dxa"/>
              <w:left w:w="54" w:type="dxa"/>
              <w:bottom w:w="27" w:type="dxa"/>
              <w:right w:w="54" w:type="dxa"/>
            </w:tcMar>
          </w:tcPr>
          <w:p>
            <w:pPr>
              <w:spacing w:after="0" w:line="240" w:lineRule="auto"/>
              <w:jc w:val="both"/>
            </w:pPr>
            <w:r>
              <w:t>Tempat belajar terbaik (fasilitas, pengajar, kemudahan akses, beasiswa, atmosfir yang kondusif)</w:t>
            </w:r>
          </w:p>
          <w:p>
            <w:pPr>
              <w:spacing w:after="0" w:line="240" w:lineRule="auto"/>
              <w:jc w:val="both"/>
            </w:pPr>
            <w:r>
              <w:t>Menghasilkan nakes yang unggul, berdaya saing, dan mampu berkontribusi untuk Jawa Barat</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221" w:hRule="atLeast"/>
        </w:trPr>
        <w:tc>
          <w:tcPr>
            <w:tcW w:w="695" w:type="dxa"/>
            <w:shd w:val="clear" w:color="auto" w:fill="EBCC6E"/>
            <w:tcMar>
              <w:top w:w="27" w:type="dxa"/>
              <w:left w:w="54" w:type="dxa"/>
              <w:bottom w:w="27" w:type="dxa"/>
              <w:right w:w="54" w:type="dxa"/>
            </w:tcMar>
          </w:tcPr>
          <w:p>
            <w:pPr>
              <w:spacing w:after="0" w:line="240" w:lineRule="auto"/>
              <w:jc w:val="both"/>
            </w:pPr>
            <w:r>
              <w:t>8</w:t>
            </w:r>
          </w:p>
        </w:tc>
        <w:tc>
          <w:tcPr>
            <w:tcW w:w="3239" w:type="dxa"/>
            <w:shd w:val="clear" w:color="auto" w:fill="EBCC6E"/>
            <w:tcMar>
              <w:top w:w="27" w:type="dxa"/>
              <w:left w:w="54" w:type="dxa"/>
              <w:bottom w:w="27" w:type="dxa"/>
              <w:right w:w="54" w:type="dxa"/>
            </w:tcMar>
          </w:tcPr>
          <w:p>
            <w:pPr>
              <w:spacing w:after="0" w:line="240" w:lineRule="auto"/>
              <w:jc w:val="both"/>
            </w:pPr>
            <w:r>
              <w:t>RS Regional</w:t>
            </w:r>
          </w:p>
        </w:tc>
        <w:tc>
          <w:tcPr>
            <w:tcW w:w="10005" w:type="dxa"/>
            <w:shd w:val="clear" w:color="auto" w:fill="EBCC6E"/>
            <w:tcMar>
              <w:top w:w="27" w:type="dxa"/>
              <w:left w:w="54" w:type="dxa"/>
              <w:bottom w:w="27" w:type="dxa"/>
              <w:right w:w="54" w:type="dxa"/>
            </w:tcMar>
          </w:tcPr>
          <w:p>
            <w:pPr>
              <w:spacing w:after="0" w:line="240" w:lineRule="auto"/>
              <w:jc w:val="both"/>
            </w:pPr>
            <w:r>
              <w:t>Mengampu dalam pembinaan SDM, teknis dan manajemen RS. Koordinasi antara RS Regional dan RSHS-FK Unpad.Rujukan dapat diterima</w:t>
            </w:r>
          </w:p>
        </w:tc>
      </w:tr>
    </w:tbl>
    <w:p/>
    <w:p>
      <w:pPr>
        <w:pStyle w:val="9"/>
        <w:rPr>
          <w:b w:val="0"/>
          <w:szCs w:val="24"/>
          <w:lang w:val="id-ID"/>
        </w:rPr>
      </w:pPr>
      <w:r>
        <w:t xml:space="preserve">Tabel 4. </w:t>
      </w:r>
      <w:r>
        <w:rPr>
          <w:lang w:val="id-ID"/>
        </w:rPr>
        <w:t xml:space="preserve">1. </w:t>
      </w:r>
      <w:r>
        <w:rPr>
          <w:szCs w:val="24"/>
        </w:rPr>
        <w:t xml:space="preserve">Harapan dan Kekhawatiran Utama </w:t>
      </w:r>
      <w:r>
        <w:rPr>
          <w:i/>
          <w:szCs w:val="24"/>
        </w:rPr>
        <w:t>Stakeholder</w:t>
      </w:r>
      <w:r>
        <w:rPr>
          <w:szCs w:val="24"/>
        </w:rPr>
        <w:t xml:space="preserve"> utama</w:t>
      </w:r>
      <w:r>
        <w:rPr>
          <w:szCs w:val="24"/>
          <w:lang w:val="id-ID"/>
        </w:rPr>
        <w:t xml:space="preserve"> (Lanjutan)</w:t>
      </w:r>
    </w:p>
    <w:tbl>
      <w:tblPr>
        <w:tblStyle w:val="26"/>
        <w:tblW w:w="13939" w:type="dxa"/>
        <w:tblInd w:w="0" w:type="dxa"/>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
      <w:tblGrid>
        <w:gridCol w:w="695"/>
        <w:gridCol w:w="3239"/>
        <w:gridCol w:w="10005"/>
      </w:tblGrid>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237" w:hRule="atLeast"/>
        </w:trPr>
        <w:tc>
          <w:tcPr>
            <w:tcW w:w="695" w:type="dxa"/>
            <w:tcBorders>
              <w:top w:val="single" w:color="595643" w:sz="8" w:space="0"/>
              <w:left w:val="single" w:color="595643" w:sz="8" w:space="0"/>
              <w:bottom w:val="single" w:color="595643" w:sz="8" w:space="0"/>
              <w:right w:val="single" w:color="595643" w:sz="8" w:space="0"/>
            </w:tcBorders>
            <w:shd w:val="clear" w:color="auto" w:fill="259073" w:themeFill="accent2"/>
            <w:tcMar>
              <w:top w:w="27" w:type="dxa"/>
              <w:left w:w="54" w:type="dxa"/>
              <w:bottom w:w="27" w:type="dxa"/>
              <w:right w:w="54" w:type="dxa"/>
            </w:tcMar>
          </w:tcPr>
          <w:p>
            <w:pPr>
              <w:spacing w:after="0" w:line="240" w:lineRule="auto"/>
              <w:jc w:val="center"/>
              <w:rPr>
                <w:b/>
                <w:color w:val="FFFFFF"/>
              </w:rPr>
            </w:pPr>
            <w:r>
              <w:rPr>
                <w:b/>
                <w:color w:val="FFFFFF"/>
              </w:rPr>
              <w:t>No</w:t>
            </w:r>
          </w:p>
        </w:tc>
        <w:tc>
          <w:tcPr>
            <w:tcW w:w="3239" w:type="dxa"/>
            <w:tcBorders>
              <w:top w:val="single" w:color="595643" w:sz="8" w:space="0"/>
              <w:left w:val="single" w:color="595643" w:sz="8" w:space="0"/>
              <w:bottom w:val="single" w:color="595643" w:sz="8" w:space="0"/>
              <w:right w:val="single" w:color="595643" w:sz="8" w:space="0"/>
            </w:tcBorders>
            <w:shd w:val="clear" w:color="auto" w:fill="259073" w:themeFill="accent2"/>
            <w:tcMar>
              <w:top w:w="27" w:type="dxa"/>
              <w:left w:w="54" w:type="dxa"/>
              <w:bottom w:w="27" w:type="dxa"/>
              <w:right w:w="54" w:type="dxa"/>
            </w:tcMar>
          </w:tcPr>
          <w:p>
            <w:pPr>
              <w:spacing w:after="0" w:line="240" w:lineRule="auto"/>
              <w:jc w:val="center"/>
              <w:rPr>
                <w:b/>
                <w:color w:val="FFFFFF"/>
              </w:rPr>
            </w:pPr>
            <w:r>
              <w:rPr>
                <w:b/>
                <w:i/>
                <w:color w:val="FFFFFF"/>
              </w:rPr>
              <w:t>Stakeholder</w:t>
            </w:r>
          </w:p>
        </w:tc>
        <w:tc>
          <w:tcPr>
            <w:tcW w:w="10005" w:type="dxa"/>
            <w:tcBorders>
              <w:top w:val="single" w:color="595643" w:sz="8" w:space="0"/>
              <w:left w:val="single" w:color="595643" w:sz="8" w:space="0"/>
              <w:bottom w:val="single" w:color="595643" w:sz="8" w:space="0"/>
              <w:right w:val="single" w:color="595643" w:sz="8" w:space="0"/>
            </w:tcBorders>
            <w:shd w:val="clear" w:color="auto" w:fill="259073" w:themeFill="accent2"/>
            <w:tcMar>
              <w:top w:w="27" w:type="dxa"/>
              <w:left w:w="54" w:type="dxa"/>
              <w:bottom w:w="27" w:type="dxa"/>
              <w:right w:w="54" w:type="dxa"/>
            </w:tcMar>
          </w:tcPr>
          <w:p>
            <w:pPr>
              <w:spacing w:after="0" w:line="240" w:lineRule="auto"/>
              <w:jc w:val="center"/>
              <w:rPr>
                <w:b/>
                <w:color w:val="FFFFFF"/>
              </w:rPr>
            </w:pPr>
            <w:r>
              <w:rPr>
                <w:b/>
                <w:color w:val="FFFFFF"/>
              </w:rPr>
              <w:t>Harapan</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639" w:hRule="atLeast"/>
        </w:trPr>
        <w:tc>
          <w:tcPr>
            <w:tcW w:w="695" w:type="dxa"/>
            <w:shd w:val="clear" w:color="auto" w:fill="EBCC6E"/>
            <w:tcMar>
              <w:top w:w="27" w:type="dxa"/>
              <w:left w:w="54" w:type="dxa"/>
              <w:bottom w:w="27" w:type="dxa"/>
              <w:right w:w="54" w:type="dxa"/>
            </w:tcMar>
          </w:tcPr>
          <w:p>
            <w:pPr>
              <w:spacing w:after="0" w:line="240" w:lineRule="auto"/>
              <w:jc w:val="both"/>
            </w:pPr>
            <w:r>
              <w:t>9</w:t>
            </w:r>
          </w:p>
        </w:tc>
        <w:tc>
          <w:tcPr>
            <w:tcW w:w="3239" w:type="dxa"/>
            <w:shd w:val="clear" w:color="auto" w:fill="EBCC6E"/>
            <w:tcMar>
              <w:top w:w="27" w:type="dxa"/>
              <w:left w:w="54" w:type="dxa"/>
              <w:bottom w:w="27" w:type="dxa"/>
              <w:right w:w="54" w:type="dxa"/>
            </w:tcMar>
          </w:tcPr>
          <w:p>
            <w:pPr>
              <w:spacing w:after="0" w:line="240" w:lineRule="auto"/>
              <w:jc w:val="both"/>
            </w:pPr>
            <w:r>
              <w:t>Masyarakat Jawa Barat</w:t>
            </w:r>
          </w:p>
        </w:tc>
        <w:tc>
          <w:tcPr>
            <w:tcW w:w="10005" w:type="dxa"/>
            <w:shd w:val="clear" w:color="auto" w:fill="EBCC6E"/>
            <w:tcMar>
              <w:top w:w="27" w:type="dxa"/>
              <w:left w:w="54" w:type="dxa"/>
              <w:bottom w:w="27" w:type="dxa"/>
              <w:right w:w="54" w:type="dxa"/>
            </w:tcMar>
          </w:tcPr>
          <w:p>
            <w:pPr>
              <w:spacing w:after="0" w:line="240" w:lineRule="auto"/>
              <w:jc w:val="both"/>
            </w:pPr>
            <w:r>
              <w:t>Kemudahan akses dan layanan</w:t>
            </w:r>
          </w:p>
          <w:p>
            <w:pPr>
              <w:spacing w:after="0" w:line="240" w:lineRule="auto"/>
              <w:jc w:val="both"/>
            </w:pPr>
            <w:r>
              <w:t>menjadi andalan dan pilihan utama</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493" w:hRule="atLeast"/>
        </w:trPr>
        <w:tc>
          <w:tcPr>
            <w:tcW w:w="695" w:type="dxa"/>
            <w:shd w:val="clear" w:color="auto" w:fill="EBCC6E"/>
            <w:tcMar>
              <w:top w:w="27" w:type="dxa"/>
              <w:left w:w="54" w:type="dxa"/>
              <w:bottom w:w="27" w:type="dxa"/>
              <w:right w:w="54" w:type="dxa"/>
            </w:tcMar>
          </w:tcPr>
          <w:p>
            <w:pPr>
              <w:spacing w:after="0" w:line="240" w:lineRule="auto"/>
              <w:jc w:val="both"/>
            </w:pPr>
            <w:r>
              <w:t>10</w:t>
            </w:r>
          </w:p>
        </w:tc>
        <w:tc>
          <w:tcPr>
            <w:tcW w:w="3239" w:type="dxa"/>
            <w:shd w:val="clear" w:color="auto" w:fill="EBCC6E"/>
            <w:tcMar>
              <w:top w:w="27" w:type="dxa"/>
              <w:left w:w="54" w:type="dxa"/>
              <w:bottom w:w="27" w:type="dxa"/>
              <w:right w:w="54" w:type="dxa"/>
            </w:tcMar>
          </w:tcPr>
          <w:p>
            <w:pPr>
              <w:spacing w:after="0" w:line="240" w:lineRule="auto"/>
              <w:jc w:val="both"/>
            </w:pPr>
            <w:r>
              <w:t>Asuransi &amp; BPJS</w:t>
            </w:r>
          </w:p>
        </w:tc>
        <w:tc>
          <w:tcPr>
            <w:tcW w:w="10005" w:type="dxa"/>
            <w:shd w:val="clear" w:color="auto" w:fill="EBCC6E"/>
            <w:tcMar>
              <w:top w:w="27" w:type="dxa"/>
              <w:left w:w="54" w:type="dxa"/>
              <w:bottom w:w="27" w:type="dxa"/>
              <w:right w:w="54" w:type="dxa"/>
            </w:tcMar>
          </w:tcPr>
          <w:p>
            <w:pPr>
              <w:spacing w:after="0" w:line="240" w:lineRule="auto"/>
              <w:jc w:val="both"/>
            </w:pPr>
            <w:r>
              <w:t>Layanan yang efisien dan tidak ada fraud</w:t>
            </w:r>
          </w:p>
          <w:p>
            <w:pPr>
              <w:spacing w:after="0" w:line="240" w:lineRule="auto"/>
              <w:jc w:val="both"/>
            </w:pPr>
            <w:r>
              <w:t>Administrasi yang lengkap</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347" w:hRule="atLeast"/>
        </w:trPr>
        <w:tc>
          <w:tcPr>
            <w:tcW w:w="695" w:type="dxa"/>
            <w:shd w:val="clear" w:color="auto" w:fill="EBCC6E"/>
            <w:tcMar>
              <w:top w:w="27" w:type="dxa"/>
              <w:left w:w="54" w:type="dxa"/>
              <w:bottom w:w="27" w:type="dxa"/>
              <w:right w:w="54" w:type="dxa"/>
            </w:tcMar>
          </w:tcPr>
          <w:p>
            <w:pPr>
              <w:spacing w:after="0" w:line="240" w:lineRule="auto"/>
              <w:jc w:val="both"/>
            </w:pPr>
            <w:r>
              <w:t>11</w:t>
            </w:r>
          </w:p>
        </w:tc>
        <w:tc>
          <w:tcPr>
            <w:tcW w:w="3239" w:type="dxa"/>
            <w:shd w:val="clear" w:color="auto" w:fill="EBCC6E"/>
            <w:tcMar>
              <w:top w:w="27" w:type="dxa"/>
              <w:left w:w="54" w:type="dxa"/>
              <w:bottom w:w="27" w:type="dxa"/>
              <w:right w:w="54" w:type="dxa"/>
            </w:tcMar>
          </w:tcPr>
          <w:p>
            <w:pPr>
              <w:spacing w:after="0" w:line="240" w:lineRule="auto"/>
              <w:jc w:val="both"/>
            </w:pPr>
            <w:r>
              <w:t>Unit kerja/SMF</w:t>
            </w:r>
          </w:p>
        </w:tc>
        <w:tc>
          <w:tcPr>
            <w:tcW w:w="10005" w:type="dxa"/>
            <w:shd w:val="clear" w:color="auto" w:fill="EBCC6E"/>
            <w:tcMar>
              <w:top w:w="27" w:type="dxa"/>
              <w:left w:w="54" w:type="dxa"/>
              <w:bottom w:w="27" w:type="dxa"/>
              <w:right w:w="54" w:type="dxa"/>
            </w:tcMar>
          </w:tcPr>
          <w:p>
            <w:pPr>
              <w:spacing w:after="0" w:line="240" w:lineRule="auto"/>
              <w:jc w:val="both"/>
            </w:pPr>
            <w:r>
              <w:t>Standard minimum fasilitas terpenuhi (termasuk IT, pengadaan, dll)</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347" w:hRule="atLeast"/>
        </w:trPr>
        <w:tc>
          <w:tcPr>
            <w:tcW w:w="695" w:type="dxa"/>
            <w:shd w:val="clear" w:color="auto" w:fill="EBCC6E"/>
            <w:tcMar>
              <w:top w:w="27" w:type="dxa"/>
              <w:left w:w="54" w:type="dxa"/>
              <w:bottom w:w="27" w:type="dxa"/>
              <w:right w:w="54" w:type="dxa"/>
            </w:tcMar>
          </w:tcPr>
          <w:p>
            <w:pPr>
              <w:spacing w:after="0" w:line="240" w:lineRule="auto"/>
              <w:jc w:val="both"/>
            </w:pPr>
            <w:r>
              <w:t>12</w:t>
            </w:r>
          </w:p>
        </w:tc>
        <w:tc>
          <w:tcPr>
            <w:tcW w:w="3239" w:type="dxa"/>
            <w:shd w:val="clear" w:color="auto" w:fill="EBCC6E"/>
            <w:tcMar>
              <w:top w:w="27" w:type="dxa"/>
              <w:left w:w="54" w:type="dxa"/>
              <w:bottom w:w="27" w:type="dxa"/>
              <w:right w:w="54" w:type="dxa"/>
            </w:tcMar>
          </w:tcPr>
          <w:p>
            <w:pPr>
              <w:spacing w:after="0" w:line="240" w:lineRule="auto"/>
              <w:jc w:val="both"/>
            </w:pPr>
            <w:r>
              <w:t xml:space="preserve">Staf Klinik </w:t>
            </w:r>
          </w:p>
        </w:tc>
        <w:tc>
          <w:tcPr>
            <w:tcW w:w="10005" w:type="dxa"/>
            <w:shd w:val="clear" w:color="auto" w:fill="EBCC6E"/>
            <w:tcMar>
              <w:top w:w="27" w:type="dxa"/>
              <w:left w:w="54" w:type="dxa"/>
              <w:bottom w:w="27" w:type="dxa"/>
              <w:right w:w="54" w:type="dxa"/>
            </w:tcMar>
          </w:tcPr>
          <w:p>
            <w:pPr>
              <w:spacing w:after="0" w:line="240" w:lineRule="auto"/>
              <w:jc w:val="both"/>
            </w:pPr>
            <w:r>
              <w:t>Kesejahteraan, kejelasan karir, keselamatan kerja</w:t>
            </w:r>
          </w:p>
        </w:tc>
      </w:tr>
      <w:tr>
        <w:tblPrEx>
          <w:tblBorders>
            <w:top w:val="single" w:color="595643" w:sz="8" w:space="0"/>
            <w:left w:val="single" w:color="595643" w:sz="8" w:space="0"/>
            <w:bottom w:val="single" w:color="595643" w:sz="8" w:space="0"/>
            <w:right w:val="single" w:color="595643" w:sz="8" w:space="0"/>
            <w:insideH w:val="single" w:color="595643" w:sz="8" w:space="0"/>
            <w:insideV w:val="single" w:color="595643" w:sz="8" w:space="0"/>
          </w:tblBorders>
          <w:shd w:val="clear" w:color="auto" w:fill="EBCC6E"/>
          <w:tblLayout w:type="fixed"/>
          <w:tblCellMar>
            <w:top w:w="0" w:type="dxa"/>
            <w:left w:w="0" w:type="dxa"/>
            <w:bottom w:w="0" w:type="dxa"/>
            <w:right w:w="0" w:type="dxa"/>
          </w:tblCellMar>
        </w:tblPrEx>
        <w:trPr>
          <w:trHeight w:val="221" w:hRule="atLeast"/>
        </w:trPr>
        <w:tc>
          <w:tcPr>
            <w:tcW w:w="695" w:type="dxa"/>
            <w:shd w:val="clear" w:color="auto" w:fill="EBCC6E"/>
            <w:tcMar>
              <w:top w:w="27" w:type="dxa"/>
              <w:left w:w="54" w:type="dxa"/>
              <w:bottom w:w="27" w:type="dxa"/>
              <w:right w:w="54" w:type="dxa"/>
            </w:tcMar>
          </w:tcPr>
          <w:p>
            <w:pPr>
              <w:spacing w:after="0" w:line="240" w:lineRule="auto"/>
              <w:jc w:val="both"/>
            </w:pPr>
            <w:r>
              <w:t>13</w:t>
            </w:r>
          </w:p>
        </w:tc>
        <w:tc>
          <w:tcPr>
            <w:tcW w:w="3239" w:type="dxa"/>
            <w:shd w:val="clear" w:color="auto" w:fill="EBCC6E"/>
            <w:tcMar>
              <w:top w:w="27" w:type="dxa"/>
              <w:left w:w="54" w:type="dxa"/>
              <w:bottom w:w="27" w:type="dxa"/>
              <w:right w:w="54" w:type="dxa"/>
            </w:tcMar>
          </w:tcPr>
          <w:p>
            <w:pPr>
              <w:spacing w:after="0" w:line="240" w:lineRule="auto"/>
              <w:jc w:val="both"/>
            </w:pPr>
            <w:r>
              <w:t>Staf Non-Klinik</w:t>
            </w:r>
          </w:p>
        </w:tc>
        <w:tc>
          <w:tcPr>
            <w:tcW w:w="10005" w:type="dxa"/>
            <w:shd w:val="clear" w:color="auto" w:fill="EBCC6E"/>
            <w:tcMar>
              <w:top w:w="27" w:type="dxa"/>
              <w:left w:w="54" w:type="dxa"/>
              <w:bottom w:w="27" w:type="dxa"/>
              <w:right w:w="54" w:type="dxa"/>
            </w:tcMar>
          </w:tcPr>
          <w:p>
            <w:pPr>
              <w:spacing w:after="0" w:line="240" w:lineRule="auto"/>
              <w:jc w:val="both"/>
            </w:pPr>
            <w:r>
              <w:t>Kesejahteraan, kejelasan karir</w:t>
            </w:r>
          </w:p>
        </w:tc>
      </w:tr>
    </w:tbl>
    <w:p>
      <w:pPr>
        <w:spacing w:line="360" w:lineRule="auto"/>
        <w:jc w:val="both"/>
        <w:rPr>
          <w:szCs w:val="24"/>
        </w:rPr>
      </w:pPr>
    </w:p>
    <w:p>
      <w:pPr>
        <w:pStyle w:val="3"/>
        <w:rPr>
          <w:szCs w:val="24"/>
        </w:rPr>
        <w:sectPr>
          <w:type w:val="continuous"/>
          <w:pgSz w:w="16839" w:h="11907" w:orient="landscape"/>
          <w:pgMar w:top="1440" w:right="1440" w:bottom="1440" w:left="1440" w:header="720" w:footer="60" w:gutter="0"/>
          <w:cols w:space="720" w:num="1"/>
          <w:docGrid w:linePitch="360" w:charSpace="0"/>
        </w:sectPr>
      </w:pPr>
    </w:p>
    <w:p>
      <w:pPr>
        <w:pStyle w:val="3"/>
        <w:rPr>
          <w:szCs w:val="24"/>
        </w:rPr>
      </w:pPr>
      <w:bookmarkStart w:id="34" w:name="_Toc431267232"/>
      <w:r>
        <w:rPr>
          <w:szCs w:val="24"/>
          <w:lang w:val="id-ID"/>
        </w:rPr>
        <w:t>4</w:t>
      </w:r>
      <w:r>
        <w:rPr>
          <w:szCs w:val="24"/>
        </w:rPr>
        <w:t>.2 Tantangan Strategis</w:t>
      </w:r>
      <w:bookmarkEnd w:id="34"/>
    </w:p>
    <w:p>
      <w:pPr>
        <w:spacing w:line="360" w:lineRule="auto"/>
        <w:ind w:firstLine="709"/>
        <w:jc w:val="both"/>
        <w:rPr>
          <w:szCs w:val="24"/>
        </w:rPr>
      </w:pPr>
      <w:r>
        <w:rPr>
          <w:szCs w:val="24"/>
        </w:rPr>
        <w:t xml:space="preserve">Memperhatikan dinamika tuntutan </w:t>
      </w:r>
      <w:r>
        <w:rPr>
          <w:i/>
          <w:szCs w:val="24"/>
        </w:rPr>
        <w:t>stakeholders</w:t>
      </w:r>
      <w:r>
        <w:rPr>
          <w:szCs w:val="24"/>
        </w:rPr>
        <w:t xml:space="preserve"> utama dan informasi dari </w:t>
      </w:r>
      <w:r>
        <w:rPr>
          <w:i/>
          <w:szCs w:val="24"/>
        </w:rPr>
        <w:t>benchmark</w:t>
      </w:r>
      <w:r>
        <w:rPr>
          <w:szCs w:val="24"/>
        </w:rPr>
        <w:t>, maka tantangan strategis yang akan dihadapi oleh RSHS</w:t>
      </w:r>
      <w:r>
        <w:rPr>
          <w:szCs w:val="24"/>
          <w:lang w:val="id-ID"/>
        </w:rPr>
        <w:t xml:space="preserve"> </w:t>
      </w:r>
      <w:r>
        <w:rPr>
          <w:szCs w:val="24"/>
        </w:rPr>
        <w:t>untuk periode tahun 2015-2019 sebagai berikut:</w:t>
      </w:r>
    </w:p>
    <w:p>
      <w:pPr>
        <w:numPr>
          <w:ilvl w:val="0"/>
          <w:numId w:val="20"/>
        </w:numPr>
        <w:tabs>
          <w:tab w:val="left" w:pos="720"/>
        </w:tabs>
        <w:spacing w:after="0" w:line="360" w:lineRule="auto"/>
        <w:contextualSpacing/>
        <w:jc w:val="both"/>
        <w:rPr>
          <w:szCs w:val="24"/>
        </w:rPr>
      </w:pPr>
      <w:r>
        <w:rPr>
          <w:szCs w:val="24"/>
        </w:rPr>
        <w:t xml:space="preserve">Berkontribusi untuk pencapaian target indikator kesehatan </w:t>
      </w:r>
      <w:r>
        <w:rPr>
          <w:szCs w:val="24"/>
          <w:lang w:val="id-ID"/>
        </w:rPr>
        <w:t>Jabar</w:t>
      </w:r>
      <w:r>
        <w:rPr>
          <w:szCs w:val="24"/>
        </w:rPr>
        <w:t xml:space="preserve"> melalui indikator kesehatan </w:t>
      </w:r>
      <w:r>
        <w:rPr>
          <w:szCs w:val="24"/>
          <w:lang w:val="id-ID"/>
        </w:rPr>
        <w:t>RSHS</w:t>
      </w:r>
      <w:r>
        <w:rPr>
          <w:szCs w:val="24"/>
        </w:rPr>
        <w:t>.</w:t>
      </w:r>
    </w:p>
    <w:p>
      <w:pPr>
        <w:numPr>
          <w:ilvl w:val="0"/>
          <w:numId w:val="20"/>
        </w:numPr>
        <w:tabs>
          <w:tab w:val="left" w:pos="720"/>
        </w:tabs>
        <w:spacing w:after="0" w:line="360" w:lineRule="auto"/>
        <w:contextualSpacing/>
        <w:jc w:val="both"/>
        <w:rPr>
          <w:szCs w:val="24"/>
        </w:rPr>
      </w:pPr>
      <w:r>
        <w:rPr>
          <w:szCs w:val="24"/>
        </w:rPr>
        <w:t>Mewujudkan akreditasi internasional JCI.</w:t>
      </w:r>
    </w:p>
    <w:p>
      <w:pPr>
        <w:numPr>
          <w:ilvl w:val="0"/>
          <w:numId w:val="20"/>
        </w:numPr>
        <w:tabs>
          <w:tab w:val="left" w:pos="720"/>
        </w:tabs>
        <w:spacing w:after="0" w:line="360" w:lineRule="auto"/>
        <w:contextualSpacing/>
        <w:jc w:val="both"/>
        <w:rPr>
          <w:szCs w:val="24"/>
        </w:rPr>
      </w:pPr>
      <w:r>
        <w:rPr>
          <w:szCs w:val="24"/>
        </w:rPr>
        <w:t>Menjadi model sinergi kemitraan dalam merangkul rumpun ilmu yang lain.</w:t>
      </w:r>
    </w:p>
    <w:p>
      <w:pPr>
        <w:numPr>
          <w:ilvl w:val="0"/>
          <w:numId w:val="20"/>
        </w:numPr>
        <w:tabs>
          <w:tab w:val="left" w:pos="720"/>
        </w:tabs>
        <w:spacing w:after="0" w:line="360" w:lineRule="auto"/>
        <w:contextualSpacing/>
        <w:jc w:val="both"/>
        <w:rPr>
          <w:szCs w:val="24"/>
        </w:rPr>
      </w:pPr>
      <w:r>
        <w:rPr>
          <w:szCs w:val="24"/>
        </w:rPr>
        <w:t>Mewujudkan kesejahteraan, kejelasan karir dan mono-loyalitas.</w:t>
      </w:r>
    </w:p>
    <w:p>
      <w:pPr>
        <w:numPr>
          <w:ilvl w:val="0"/>
          <w:numId w:val="20"/>
        </w:numPr>
        <w:tabs>
          <w:tab w:val="left" w:pos="720"/>
        </w:tabs>
        <w:spacing w:after="0" w:line="360" w:lineRule="auto"/>
        <w:contextualSpacing/>
        <w:jc w:val="both"/>
        <w:rPr>
          <w:szCs w:val="24"/>
        </w:rPr>
      </w:pPr>
      <w:r>
        <w:rPr>
          <w:szCs w:val="24"/>
        </w:rPr>
        <w:t xml:space="preserve">Mewujudkan layanan unggulan. </w:t>
      </w:r>
    </w:p>
    <w:p>
      <w:pPr>
        <w:numPr>
          <w:ilvl w:val="0"/>
          <w:numId w:val="20"/>
        </w:numPr>
        <w:tabs>
          <w:tab w:val="left" w:pos="720"/>
        </w:tabs>
        <w:spacing w:after="0" w:line="360" w:lineRule="auto"/>
        <w:contextualSpacing/>
        <w:jc w:val="both"/>
        <w:rPr>
          <w:szCs w:val="24"/>
        </w:rPr>
      </w:pPr>
      <w:r>
        <w:rPr>
          <w:szCs w:val="24"/>
        </w:rPr>
        <w:t>Melaksanakan pengampuan pada RS Jejaring.</w:t>
      </w:r>
    </w:p>
    <w:p>
      <w:pPr>
        <w:numPr>
          <w:ilvl w:val="0"/>
          <w:numId w:val="20"/>
        </w:numPr>
        <w:tabs>
          <w:tab w:val="left" w:pos="720"/>
        </w:tabs>
        <w:spacing w:after="0" w:line="360" w:lineRule="auto"/>
        <w:contextualSpacing/>
        <w:jc w:val="both"/>
        <w:rPr>
          <w:szCs w:val="24"/>
        </w:rPr>
      </w:pPr>
      <w:r>
        <w:rPr>
          <w:szCs w:val="24"/>
        </w:rPr>
        <w:t>Meningkatkan integrasi pelayanan, pendidikan dan penelitian.</w:t>
      </w:r>
    </w:p>
    <w:p>
      <w:pPr>
        <w:numPr>
          <w:ilvl w:val="0"/>
          <w:numId w:val="20"/>
        </w:numPr>
        <w:tabs>
          <w:tab w:val="left" w:pos="720"/>
        </w:tabs>
        <w:spacing w:after="0" w:line="360" w:lineRule="auto"/>
        <w:contextualSpacing/>
        <w:jc w:val="both"/>
        <w:rPr>
          <w:szCs w:val="24"/>
        </w:rPr>
      </w:pPr>
      <w:r>
        <w:rPr>
          <w:szCs w:val="24"/>
        </w:rPr>
        <w:t>Melakukan penguatan produk penelitian (publikasi, Haki, rekomendasi kebijakan).</w:t>
      </w:r>
    </w:p>
    <w:p>
      <w:pPr>
        <w:numPr>
          <w:ilvl w:val="0"/>
          <w:numId w:val="20"/>
        </w:numPr>
        <w:tabs>
          <w:tab w:val="left" w:pos="720"/>
        </w:tabs>
        <w:spacing w:after="0" w:line="360" w:lineRule="auto"/>
        <w:contextualSpacing/>
        <w:jc w:val="both"/>
        <w:rPr>
          <w:szCs w:val="24"/>
        </w:rPr>
      </w:pPr>
      <w:r>
        <w:rPr>
          <w:szCs w:val="24"/>
        </w:rPr>
        <w:t xml:space="preserve">Memperkuat kemampuan pada penanganan kasus tersier.  </w:t>
      </w:r>
    </w:p>
    <w:p>
      <w:pPr>
        <w:numPr>
          <w:ilvl w:val="0"/>
          <w:numId w:val="20"/>
        </w:numPr>
        <w:tabs>
          <w:tab w:val="left" w:pos="720"/>
        </w:tabs>
        <w:spacing w:after="0" w:line="360" w:lineRule="auto"/>
        <w:contextualSpacing/>
        <w:jc w:val="both"/>
        <w:rPr>
          <w:szCs w:val="24"/>
        </w:rPr>
      </w:pPr>
      <w:r>
        <w:rPr>
          <w:szCs w:val="24"/>
        </w:rPr>
        <w:t xml:space="preserve">Mewujudkan keuangan yang akuntabel, transparan dan </w:t>
      </w:r>
      <w:r>
        <w:rPr>
          <w:i/>
          <w:szCs w:val="24"/>
        </w:rPr>
        <w:t xml:space="preserve">cost effective. </w:t>
      </w:r>
    </w:p>
    <w:p>
      <w:pPr>
        <w:numPr>
          <w:ilvl w:val="0"/>
          <w:numId w:val="20"/>
        </w:numPr>
        <w:tabs>
          <w:tab w:val="left" w:pos="720"/>
        </w:tabs>
        <w:spacing w:after="0" w:line="360" w:lineRule="auto"/>
        <w:contextualSpacing/>
        <w:jc w:val="both"/>
        <w:rPr>
          <w:szCs w:val="24"/>
        </w:rPr>
      </w:pPr>
      <w:r>
        <w:rPr>
          <w:szCs w:val="24"/>
        </w:rPr>
        <w:t xml:space="preserve">Mewujudkan kemitraan strategis </w:t>
      </w:r>
      <w:r>
        <w:rPr>
          <w:i/>
          <w:szCs w:val="24"/>
        </w:rPr>
        <w:t xml:space="preserve">Academic  </w:t>
      </w:r>
      <w:r>
        <w:rPr>
          <w:szCs w:val="24"/>
        </w:rPr>
        <w:t xml:space="preserve">(A), </w:t>
      </w:r>
      <w:r>
        <w:rPr>
          <w:i/>
          <w:szCs w:val="24"/>
        </w:rPr>
        <w:t xml:space="preserve">Business </w:t>
      </w:r>
      <w:r>
        <w:rPr>
          <w:szCs w:val="24"/>
        </w:rPr>
        <w:t xml:space="preserve">(B), </w:t>
      </w:r>
      <w:r>
        <w:rPr>
          <w:i/>
          <w:szCs w:val="24"/>
        </w:rPr>
        <w:t xml:space="preserve">Government </w:t>
      </w:r>
      <w:r>
        <w:rPr>
          <w:szCs w:val="24"/>
        </w:rPr>
        <w:t xml:space="preserve">(G), </w:t>
      </w:r>
      <w:r>
        <w:rPr>
          <w:i/>
          <w:szCs w:val="24"/>
        </w:rPr>
        <w:t xml:space="preserve">Community </w:t>
      </w:r>
      <w:r>
        <w:rPr>
          <w:szCs w:val="24"/>
        </w:rPr>
        <w:t xml:space="preserve">(C), </w:t>
      </w:r>
      <w:r>
        <w:rPr>
          <w:i/>
          <w:szCs w:val="24"/>
        </w:rPr>
        <w:t xml:space="preserve">Media </w:t>
      </w:r>
      <w:r>
        <w:rPr>
          <w:szCs w:val="24"/>
        </w:rPr>
        <w:t>(M).</w:t>
      </w:r>
    </w:p>
    <w:p>
      <w:pPr>
        <w:numPr>
          <w:ilvl w:val="0"/>
          <w:numId w:val="20"/>
        </w:numPr>
        <w:tabs>
          <w:tab w:val="left" w:pos="720"/>
        </w:tabs>
        <w:spacing w:after="0" w:line="360" w:lineRule="auto"/>
        <w:contextualSpacing/>
        <w:jc w:val="both"/>
        <w:rPr>
          <w:szCs w:val="24"/>
        </w:rPr>
      </w:pPr>
      <w:r>
        <w:rPr>
          <w:szCs w:val="24"/>
        </w:rPr>
        <w:t>tempat belajar terbaik (fasilitas, pengajar, kemudahan akses, beasiswa, atmosfir yang kondusif).</w:t>
      </w:r>
    </w:p>
    <w:p>
      <w:pPr>
        <w:numPr>
          <w:ilvl w:val="0"/>
          <w:numId w:val="20"/>
        </w:numPr>
        <w:tabs>
          <w:tab w:val="left" w:pos="720"/>
        </w:tabs>
        <w:spacing w:after="0" w:line="360" w:lineRule="auto"/>
        <w:contextualSpacing/>
        <w:jc w:val="both"/>
        <w:rPr>
          <w:sz w:val="20"/>
        </w:rPr>
      </w:pPr>
      <w:r>
        <w:rPr>
          <w:szCs w:val="24"/>
        </w:rPr>
        <w:t xml:space="preserve">Meningkatkan </w:t>
      </w:r>
      <w:r>
        <w:rPr>
          <w:szCs w:val="24"/>
          <w:lang w:val="id-ID"/>
        </w:rPr>
        <w:t xml:space="preserve">level </w:t>
      </w:r>
      <w:r>
        <w:rPr>
          <w:szCs w:val="24"/>
        </w:rPr>
        <w:t>integrasi IT RSHS.</w:t>
      </w:r>
    </w:p>
    <w:p>
      <w:pPr>
        <w:spacing w:after="0" w:line="360" w:lineRule="auto"/>
        <w:ind w:left="360"/>
        <w:jc w:val="both"/>
      </w:pPr>
    </w:p>
    <w:p>
      <w:pPr>
        <w:pStyle w:val="3"/>
        <w:rPr>
          <w:szCs w:val="24"/>
        </w:rPr>
      </w:pPr>
      <w:bookmarkStart w:id="35" w:name="_Toc431267233"/>
      <w:r>
        <w:rPr>
          <w:szCs w:val="24"/>
        </w:rPr>
        <w:t>4.3 Rumusan Visi, Misi dan Tata Nilai</w:t>
      </w:r>
      <w:bookmarkEnd w:id="35"/>
    </w:p>
    <w:p>
      <w:pPr>
        <w:tabs>
          <w:tab w:val="left" w:pos="720"/>
        </w:tabs>
        <w:spacing w:after="0" w:line="360" w:lineRule="auto"/>
        <w:jc w:val="both"/>
      </w:pPr>
      <w:r>
        <w:t xml:space="preserve">Rumusan </w:t>
      </w:r>
      <w:r>
        <w:rPr>
          <w:b/>
        </w:rPr>
        <w:t xml:space="preserve">Visi </w:t>
      </w:r>
      <w:r>
        <w:rPr>
          <w:szCs w:val="24"/>
        </w:rPr>
        <w:t xml:space="preserve">RSHS </w:t>
      </w:r>
      <w:r>
        <w:t xml:space="preserve">adalah: </w:t>
      </w:r>
    </w:p>
    <w:p>
      <w:pPr>
        <w:shd w:val="clear" w:color="auto" w:fill="EAF1DD"/>
        <w:spacing w:after="0" w:line="360" w:lineRule="auto"/>
        <w:ind w:right="24"/>
        <w:jc w:val="center"/>
        <w:rPr>
          <w:bCs/>
          <w:i/>
          <w:iCs/>
        </w:rPr>
      </w:pPr>
      <w:r>
        <w:rPr>
          <w:bCs/>
          <w:i/>
          <w:iCs/>
        </w:rPr>
        <w:t>Menjadi Institusi Kesehatan yang unggul dan transformatif dalam meningkatkan status kesehatan masyarakat</w:t>
      </w:r>
    </w:p>
    <w:p>
      <w:pPr>
        <w:shd w:val="clear" w:color="auto" w:fill="EBCC6E"/>
        <w:spacing w:after="0" w:line="360" w:lineRule="auto"/>
        <w:ind w:right="24"/>
        <w:jc w:val="center"/>
      </w:pPr>
      <w:r>
        <w:rPr>
          <w:i/>
          <w:iCs/>
        </w:rPr>
        <w:t>“Transformative leader in health care”</w:t>
      </w:r>
    </w:p>
    <w:p>
      <w:pPr>
        <w:spacing w:after="0" w:line="360" w:lineRule="auto"/>
        <w:jc w:val="both"/>
      </w:pPr>
    </w:p>
    <w:p>
      <w:pPr>
        <w:pStyle w:val="28"/>
        <w:numPr>
          <w:ilvl w:val="0"/>
          <w:numId w:val="21"/>
        </w:numPr>
        <w:spacing w:line="360" w:lineRule="auto"/>
        <w:ind w:left="426"/>
        <w:jc w:val="both"/>
      </w:pPr>
      <w:r>
        <w:t>Yang dimaksud institusi kesehatan adalah RSUP dr. Hasan Sadikin Bandung.</w:t>
      </w:r>
    </w:p>
    <w:p>
      <w:pPr>
        <w:pStyle w:val="28"/>
        <w:numPr>
          <w:ilvl w:val="0"/>
          <w:numId w:val="21"/>
        </w:numPr>
        <w:spacing w:line="360" w:lineRule="auto"/>
        <w:ind w:left="426"/>
        <w:jc w:val="both"/>
      </w:pPr>
      <w:r>
        <w:t>Yang dimaksud unggul adalah terbaik dan melebihi standard dalam kualitas layanan, kualitas pendidikan dan kualitas penelitian. Khususnya dalam pelayanan, diakui menjadi rujukan nasional (rujukan lintas provinsi dalam penanganan kasus-kasus tersier, yang statusnya ditetapkan oleh pemerintah karena telah memenuhi persyaratan yang telah ditetapkan: memiliki minimal 2 layanan unggulan subspesialistik, melaksanakan secara aktif penapisan teknologi kesehatan, dan terakreditasi internasional).</w:t>
      </w:r>
    </w:p>
    <w:p>
      <w:pPr>
        <w:pStyle w:val="28"/>
        <w:numPr>
          <w:ilvl w:val="0"/>
          <w:numId w:val="21"/>
        </w:numPr>
        <w:spacing w:line="360" w:lineRule="auto"/>
        <w:ind w:left="426"/>
        <w:jc w:val="both"/>
      </w:pPr>
      <w:r>
        <w:t>Yang dimaksud transformatif adalah menjadi pelopor dan berkontribusi nyata dalam peningkatan status kesehatan masyarakat Indonesia.</w:t>
      </w:r>
    </w:p>
    <w:p/>
    <w:p>
      <w:r>
        <w:t xml:space="preserve">Rumusan </w:t>
      </w:r>
      <w:r>
        <w:rPr>
          <w:b/>
        </w:rPr>
        <w:t xml:space="preserve">Misi </w:t>
      </w:r>
      <w:r>
        <w:t xml:space="preserve">2015-2019 </w:t>
      </w:r>
      <w:r>
        <w:rPr>
          <w:szCs w:val="24"/>
        </w:rPr>
        <w:t>RSHS</w:t>
      </w:r>
      <w:r>
        <w:rPr>
          <w:szCs w:val="24"/>
          <w:lang w:val="id-ID"/>
        </w:rPr>
        <w:t xml:space="preserve"> </w:t>
      </w:r>
      <w:r>
        <w:t>adalah:</w:t>
      </w:r>
    </w:p>
    <w:p>
      <w:pPr>
        <w:pStyle w:val="28"/>
        <w:widowControl w:val="0"/>
        <w:numPr>
          <w:ilvl w:val="0"/>
          <w:numId w:val="1"/>
        </w:numPr>
        <w:autoSpaceDE w:val="0"/>
        <w:autoSpaceDN w:val="0"/>
        <w:adjustRightInd w:val="0"/>
        <w:spacing w:after="256" w:line="360" w:lineRule="auto"/>
        <w:jc w:val="both"/>
        <w:rPr>
          <w:rFonts w:cs="Arial"/>
          <w:bCs/>
          <w:szCs w:val="24"/>
          <w:lang w:val="fr-FR"/>
        </w:rPr>
      </w:pPr>
      <w:r>
        <w:rPr>
          <w:rFonts w:cs="Arial"/>
          <w:bCs/>
          <w:szCs w:val="24"/>
          <w:lang w:val="fr-FR"/>
        </w:rPr>
        <w:t>Menyelenggarakan pelayanan kesehatan paripurna dan prima, yang terintegrasi dengan pendidikan dan penelitian.</w:t>
      </w:r>
    </w:p>
    <w:p>
      <w:pPr>
        <w:pStyle w:val="28"/>
        <w:widowControl w:val="0"/>
        <w:numPr>
          <w:ilvl w:val="0"/>
          <w:numId w:val="1"/>
        </w:numPr>
        <w:autoSpaceDE w:val="0"/>
        <w:autoSpaceDN w:val="0"/>
        <w:adjustRightInd w:val="0"/>
        <w:spacing w:after="256" w:line="360" w:lineRule="auto"/>
        <w:jc w:val="both"/>
        <w:rPr>
          <w:rFonts w:cs="Arial"/>
          <w:bCs/>
          <w:szCs w:val="24"/>
          <w:lang w:val="fr-FR"/>
        </w:rPr>
      </w:pPr>
      <w:r>
        <w:rPr>
          <w:rFonts w:cs="Arial"/>
          <w:bCs/>
          <w:szCs w:val="24"/>
          <w:lang w:val="fr-FR"/>
        </w:rPr>
        <w:t>Menyelenggarakan sistem rujukan pelayanan kesehatan berjenjang yang bermutu.</w:t>
      </w:r>
    </w:p>
    <w:p>
      <w:pPr>
        <w:pStyle w:val="28"/>
        <w:widowControl w:val="0"/>
        <w:numPr>
          <w:ilvl w:val="0"/>
          <w:numId w:val="1"/>
        </w:numPr>
        <w:autoSpaceDE w:val="0"/>
        <w:autoSpaceDN w:val="0"/>
        <w:adjustRightInd w:val="0"/>
        <w:spacing w:after="256" w:line="360" w:lineRule="auto"/>
        <w:jc w:val="both"/>
      </w:pPr>
      <w:r>
        <w:rPr>
          <w:rFonts w:cs="Arial"/>
          <w:bCs/>
          <w:szCs w:val="24"/>
          <w:lang w:val="fr-FR"/>
        </w:rPr>
        <w:t>Melakukan transformasi dalam mewujudkan status kesehatan masyarakat yang lebih baik.</w:t>
      </w:r>
    </w:p>
    <w:p>
      <w:pPr>
        <w:widowControl w:val="0"/>
        <w:autoSpaceDE w:val="0"/>
        <w:autoSpaceDN w:val="0"/>
        <w:adjustRightInd w:val="0"/>
        <w:spacing w:after="256" w:line="360" w:lineRule="auto"/>
        <w:jc w:val="both"/>
      </w:pPr>
      <w:r>
        <w:rPr>
          <w:lang w:val="id-ID"/>
        </w:rPr>
        <w:t>R</w:t>
      </w:r>
      <w:r>
        <w:t xml:space="preserve">umusan </w:t>
      </w:r>
      <w:r>
        <w:rPr>
          <w:b/>
        </w:rPr>
        <w:t xml:space="preserve">Tata Nilai </w:t>
      </w:r>
      <w:r>
        <w:rPr>
          <w:b/>
          <w:lang w:val="id-ID"/>
        </w:rPr>
        <w:t xml:space="preserve">RSHS </w:t>
      </w:r>
      <w:r>
        <w:t>adalah:</w:t>
      </w:r>
    </w:p>
    <w:p>
      <w:pPr>
        <w:widowControl w:val="0"/>
        <w:shd w:val="clear" w:color="auto" w:fill="EAF1DD"/>
        <w:autoSpaceDE w:val="0"/>
        <w:autoSpaceDN w:val="0"/>
        <w:adjustRightInd w:val="0"/>
        <w:spacing w:after="0" w:line="360" w:lineRule="auto"/>
        <w:jc w:val="center"/>
      </w:pPr>
      <w:r>
        <w:t>PAMINGPIN PITUIN</w:t>
      </w:r>
    </w:p>
    <w:p>
      <w:pPr>
        <w:widowControl w:val="0"/>
        <w:shd w:val="clear" w:color="auto" w:fill="EAF1DD"/>
        <w:autoSpaceDE w:val="0"/>
        <w:autoSpaceDN w:val="0"/>
        <w:adjustRightInd w:val="0"/>
        <w:spacing w:after="0" w:line="360" w:lineRule="auto"/>
        <w:jc w:val="center"/>
      </w:pPr>
      <w:r>
        <w:t>(Kepemimpinan, Profesional, Inovatif, Tulus, Unggul, Integritas)</w:t>
      </w:r>
    </w:p>
    <w:p>
      <w:pPr>
        <w:pStyle w:val="9"/>
      </w:pPr>
    </w:p>
    <w:p>
      <w:pPr>
        <w:pStyle w:val="9"/>
        <w:rPr>
          <w:sz w:val="6"/>
          <w:szCs w:val="6"/>
        </w:rPr>
      </w:pPr>
      <w:bookmarkStart w:id="36" w:name="_Toc430523099"/>
      <w:r>
        <w:t xml:space="preserve">Tabel 4. </w:t>
      </w:r>
      <w:r>
        <w:fldChar w:fldCharType="begin"/>
      </w:r>
      <w:r>
        <w:instrText xml:space="preserve"> SEQ Tabel_4. \* ARABIC </w:instrText>
      </w:r>
      <w:r>
        <w:fldChar w:fldCharType="separate"/>
      </w:r>
      <w:r>
        <w:t>2</w:t>
      </w:r>
      <w:r>
        <w:fldChar w:fldCharType="end"/>
      </w:r>
      <w:r>
        <w:t xml:space="preserve"> Tata Nilai RSHS 2015-2019</w:t>
      </w:r>
      <w:bookmarkEnd w:id="36"/>
    </w:p>
    <w:tbl>
      <w:tblPr>
        <w:tblStyle w:val="26"/>
        <w:tblW w:w="1294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114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EBCC6E"/>
            <w:vAlign w:val="center"/>
          </w:tcPr>
          <w:p>
            <w:pPr>
              <w:spacing w:after="0" w:line="240" w:lineRule="auto"/>
              <w:jc w:val="center"/>
              <w:rPr>
                <w:rFonts w:cs="Arial"/>
                <w:color w:val="595643"/>
                <w:sz w:val="20"/>
                <w:szCs w:val="20"/>
              </w:rPr>
            </w:pPr>
            <w:r>
              <w:rPr>
                <w:rFonts w:cs="Calibri"/>
                <w:b/>
                <w:bCs/>
                <w:color w:val="595643"/>
                <w:kern w:val="24"/>
                <w:sz w:val="20"/>
                <w:szCs w:val="20"/>
              </w:rPr>
              <w:t>Tata Nilai</w:t>
            </w:r>
          </w:p>
        </w:tc>
        <w:tc>
          <w:tcPr>
            <w:tcW w:w="11496" w:type="dxa"/>
            <w:shd w:val="clear" w:color="auto" w:fill="EBCC6E"/>
            <w:vAlign w:val="center"/>
          </w:tcPr>
          <w:p>
            <w:pPr>
              <w:spacing w:after="0" w:line="240" w:lineRule="auto"/>
              <w:jc w:val="center"/>
              <w:rPr>
                <w:rFonts w:cs="Arial"/>
                <w:color w:val="595643"/>
                <w:sz w:val="20"/>
                <w:szCs w:val="20"/>
              </w:rPr>
            </w:pPr>
            <w:r>
              <w:rPr>
                <w:rFonts w:cs="Calibri"/>
                <w:b/>
                <w:bCs/>
                <w:color w:val="595643"/>
                <w:kern w:val="24"/>
                <w:sz w:val="20"/>
                <w:szCs w:val="20"/>
              </w:rPr>
              <w:t>Definisi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cs="Calibri"/>
                <w:color w:val="FFFFFF" w:themeColor="background1"/>
                <w:kern w:val="24"/>
                <w:sz w:val="20"/>
                <w:szCs w:val="20"/>
                <w14:textFill>
                  <w14:solidFill>
                    <w14:schemeClr w14:val="bg1"/>
                  </w14:solidFill>
                </w14:textFill>
              </w:rPr>
              <w:t>Kepemimpinan</w:t>
            </w:r>
          </w:p>
        </w:tc>
        <w:tc>
          <w:tcPr>
            <w:tcW w:w="11496" w:type="dxa"/>
            <w:shd w:val="clear" w:color="auto" w:fill="auto"/>
            <w:vAlign w:val="center"/>
          </w:tcPr>
          <w:p>
            <w:pPr>
              <w:spacing w:after="0" w:line="240" w:lineRule="auto"/>
              <w:rPr>
                <w:rFonts w:cs="Arial"/>
                <w:sz w:val="20"/>
                <w:szCs w:val="20"/>
              </w:rPr>
            </w:pPr>
            <w:r>
              <w:rPr>
                <w:rFonts w:cs="Arial"/>
                <w:sz w:val="20"/>
                <w:szCs w:val="20"/>
              </w:rPr>
              <w:t>nilai yang menggambarkan kepeloporan dan menyiapkan talenta-talenta terbaik di bidangnya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eastAsia="Calibri"/>
                <w:color w:val="FFFFFF" w:themeColor="background1"/>
                <w:sz w:val="20"/>
                <w:szCs w:val="20"/>
                <w14:textFill>
                  <w14:solidFill>
                    <w14:schemeClr w14:val="bg1"/>
                  </w14:solidFill>
                </w14:textFill>
              </w:rPr>
              <w:t>Profesional</w:t>
            </w:r>
          </w:p>
        </w:tc>
        <w:tc>
          <w:tcPr>
            <w:tcW w:w="11496" w:type="dxa"/>
            <w:shd w:val="clear" w:color="auto" w:fill="auto"/>
            <w:vAlign w:val="center"/>
          </w:tcPr>
          <w:p>
            <w:pPr>
              <w:spacing w:after="0" w:line="240" w:lineRule="auto"/>
              <w:rPr>
                <w:rFonts w:cs="Arial"/>
                <w:sz w:val="20"/>
                <w:szCs w:val="20"/>
              </w:rPr>
            </w:pPr>
            <w:r>
              <w:rPr>
                <w:rFonts w:cs="Arial"/>
                <w:sz w:val="20"/>
                <w:szCs w:val="20"/>
              </w:rPr>
              <w:t>nilai yang berorientasi pada pencapaian kinerja melalui penjalinan kemitraan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eastAsia="Calibri"/>
                <w:color w:val="FFFFFF" w:themeColor="background1"/>
                <w:sz w:val="20"/>
                <w:szCs w:val="20"/>
                <w14:textFill>
                  <w14:solidFill>
                    <w14:schemeClr w14:val="bg1"/>
                  </w14:solidFill>
                </w14:textFill>
              </w:rPr>
              <w:t>Inovatif</w:t>
            </w:r>
          </w:p>
        </w:tc>
        <w:tc>
          <w:tcPr>
            <w:tcW w:w="11496" w:type="dxa"/>
            <w:shd w:val="clear" w:color="auto" w:fill="auto"/>
            <w:vAlign w:val="center"/>
          </w:tcPr>
          <w:p>
            <w:pPr>
              <w:spacing w:after="0" w:line="240" w:lineRule="auto"/>
              <w:rPr>
                <w:rFonts w:cs="Arial"/>
                <w:sz w:val="20"/>
                <w:szCs w:val="20"/>
              </w:rPr>
            </w:pPr>
            <w:r>
              <w:rPr>
                <w:rFonts w:cs="Arial"/>
                <w:sz w:val="20"/>
                <w:szCs w:val="20"/>
              </w:rPr>
              <w:t>nilai yang menggambarkan keinginan untuk menghasilkan suatu yang baru dan senantiasa melakukan perbaikan secara berkesinambungan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eastAsia="Calibri"/>
                <w:color w:val="FFFFFF" w:themeColor="background1"/>
                <w:sz w:val="20"/>
                <w:szCs w:val="20"/>
                <w14:textFill>
                  <w14:solidFill>
                    <w14:schemeClr w14:val="bg1"/>
                  </w14:solidFill>
                </w14:textFill>
              </w:rPr>
              <w:t>Tulus</w:t>
            </w:r>
          </w:p>
        </w:tc>
        <w:tc>
          <w:tcPr>
            <w:tcW w:w="11496" w:type="dxa"/>
            <w:shd w:val="clear" w:color="auto" w:fill="auto"/>
            <w:vAlign w:val="center"/>
          </w:tcPr>
          <w:p>
            <w:pPr>
              <w:spacing w:after="0" w:line="240" w:lineRule="auto"/>
              <w:rPr>
                <w:rFonts w:cs="Arial"/>
                <w:sz w:val="20"/>
                <w:szCs w:val="20"/>
              </w:rPr>
            </w:pPr>
            <w:r>
              <w:rPr>
                <w:rFonts w:cs="Arial"/>
                <w:sz w:val="20"/>
                <w:szCs w:val="20"/>
              </w:rPr>
              <w:t>keinginan untuk memberi tanpa pamrih, proaktif dan responsif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eastAsia="Calibri"/>
                <w:color w:val="FFFFFF" w:themeColor="background1"/>
                <w:sz w:val="20"/>
                <w:szCs w:val="20"/>
                <w14:textFill>
                  <w14:solidFill>
                    <w14:schemeClr w14:val="bg1"/>
                  </w14:solidFill>
                </w14:textFill>
              </w:rPr>
              <w:t>Unggul</w:t>
            </w:r>
          </w:p>
        </w:tc>
        <w:tc>
          <w:tcPr>
            <w:tcW w:w="11496" w:type="dxa"/>
            <w:shd w:val="clear" w:color="auto" w:fill="auto"/>
            <w:vAlign w:val="center"/>
          </w:tcPr>
          <w:p>
            <w:pPr>
              <w:spacing w:after="0" w:line="240" w:lineRule="auto"/>
              <w:rPr>
                <w:rFonts w:cs="Arial"/>
                <w:sz w:val="20"/>
                <w:szCs w:val="20"/>
              </w:rPr>
            </w:pPr>
            <w:r>
              <w:rPr>
                <w:rFonts w:cs="Arial"/>
                <w:sz w:val="20"/>
                <w:szCs w:val="20"/>
              </w:rPr>
              <w:t>keinginan untuk menjadi yang terbaik dan menghasilkan kualitas prima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447" w:type="dxa"/>
            <w:shd w:val="clear" w:color="auto" w:fill="259073" w:themeFill="accent2"/>
            <w:vAlign w:val="center"/>
          </w:tcPr>
          <w:p>
            <w:pPr>
              <w:spacing w:after="0" w:line="240" w:lineRule="auto"/>
              <w:rPr>
                <w:rFonts w:cs="Arial"/>
                <w:color w:val="FFFFFF" w:themeColor="background1"/>
                <w:sz w:val="20"/>
                <w:szCs w:val="20"/>
                <w14:textFill>
                  <w14:solidFill>
                    <w14:schemeClr w14:val="bg1"/>
                  </w14:solidFill>
                </w14:textFill>
              </w:rPr>
            </w:pPr>
            <w:r>
              <w:rPr>
                <w:rFonts w:eastAsia="Calibri"/>
                <w:color w:val="FFFFFF" w:themeColor="background1"/>
                <w:sz w:val="20"/>
                <w:szCs w:val="20"/>
                <w14:textFill>
                  <w14:solidFill>
                    <w14:schemeClr w14:val="bg1"/>
                  </w14:solidFill>
                </w14:textFill>
              </w:rPr>
              <w:t>Integritas</w:t>
            </w:r>
          </w:p>
        </w:tc>
        <w:tc>
          <w:tcPr>
            <w:tcW w:w="11496" w:type="dxa"/>
            <w:shd w:val="clear" w:color="auto" w:fill="auto"/>
            <w:vAlign w:val="center"/>
          </w:tcPr>
          <w:p>
            <w:pPr>
              <w:spacing w:after="0" w:line="240" w:lineRule="auto"/>
              <w:rPr>
                <w:rFonts w:cs="Arial"/>
                <w:sz w:val="20"/>
                <w:szCs w:val="20"/>
              </w:rPr>
            </w:pPr>
            <w:r>
              <w:rPr>
                <w:rFonts w:cs="Arial"/>
                <w:sz w:val="20"/>
                <w:szCs w:val="20"/>
              </w:rPr>
              <w:t>nilai yang menggambarkan kejujuran, amanah dan menjunjung etika yang tinggi dalam menjalankan tugas</w:t>
            </w:r>
          </w:p>
        </w:tc>
      </w:tr>
    </w:tbl>
    <w:p/>
    <w:p/>
    <w:p>
      <w:pPr>
        <w:rPr>
          <w:szCs w:val="24"/>
        </w:rPr>
      </w:pPr>
      <w:bookmarkStart w:id="37" w:name="_Toc431267234"/>
      <w:r>
        <w:rPr>
          <w:szCs w:val="24"/>
          <w:lang w:val="id-ID"/>
        </w:rPr>
        <w:t>4</w:t>
      </w:r>
      <w:r>
        <w:rPr>
          <w:szCs w:val="24"/>
        </w:rPr>
        <w:t>.4 Patok Duga (</w:t>
      </w:r>
      <w:r>
        <w:rPr>
          <w:i/>
          <w:szCs w:val="24"/>
        </w:rPr>
        <w:t>Benchmark</w:t>
      </w:r>
      <w:r>
        <w:rPr>
          <w:szCs w:val="24"/>
        </w:rPr>
        <w:t>)</w:t>
      </w:r>
      <w:bookmarkEnd w:id="37"/>
    </w:p>
    <w:p>
      <w:pPr>
        <w:spacing w:line="360" w:lineRule="auto"/>
        <w:ind w:firstLine="709"/>
        <w:contextualSpacing/>
        <w:jc w:val="both"/>
        <w:rPr>
          <w:szCs w:val="24"/>
        </w:rPr>
      </w:pPr>
      <w:r>
        <w:rPr>
          <w:szCs w:val="24"/>
        </w:rPr>
        <w:t>RSHS telah menetapkan institusi di bawah ini sebagai acuan patok duga kinerjanya.</w:t>
      </w:r>
    </w:p>
    <w:p>
      <w:pPr>
        <w:pStyle w:val="28"/>
        <w:numPr>
          <w:ilvl w:val="0"/>
          <w:numId w:val="22"/>
        </w:numPr>
        <w:spacing w:line="360" w:lineRule="auto"/>
        <w:ind w:left="426" w:hanging="426"/>
        <w:jc w:val="both"/>
        <w:rPr>
          <w:bCs/>
          <w:szCs w:val="24"/>
        </w:rPr>
      </w:pPr>
      <w:r>
        <w:rPr>
          <w:bCs/>
          <w:szCs w:val="24"/>
          <w:lang w:val="id-ID"/>
        </w:rPr>
        <w:t>Radboud University Medical Center, Nijmegen-Belanda</w:t>
      </w:r>
      <w:r>
        <w:rPr>
          <w:bCs/>
          <w:szCs w:val="24"/>
        </w:rPr>
        <w:t>.</w:t>
      </w:r>
    </w:p>
    <w:p>
      <w:pPr>
        <w:pStyle w:val="28"/>
        <w:numPr>
          <w:ilvl w:val="0"/>
          <w:numId w:val="22"/>
        </w:numPr>
        <w:spacing w:line="360" w:lineRule="auto"/>
        <w:ind w:left="426" w:hanging="426"/>
        <w:jc w:val="both"/>
        <w:rPr>
          <w:szCs w:val="24"/>
        </w:rPr>
      </w:pPr>
      <w:r>
        <w:rPr>
          <w:bCs/>
          <w:szCs w:val="24"/>
        </w:rPr>
        <w:t>University</w:t>
      </w:r>
      <w:r>
        <w:rPr>
          <w:bCs/>
          <w:szCs w:val="24"/>
          <w:lang w:val="id-ID"/>
        </w:rPr>
        <w:t xml:space="preserve"> of Colorado Health Sciences Center, Denver-USA.</w:t>
      </w:r>
    </w:p>
    <w:p>
      <w:pPr>
        <w:spacing w:line="360" w:lineRule="auto"/>
        <w:ind w:firstLine="709"/>
        <w:jc w:val="both"/>
        <w:rPr>
          <w:szCs w:val="24"/>
        </w:rPr>
      </w:pPr>
      <w:r>
        <w:rPr>
          <w:szCs w:val="24"/>
        </w:rPr>
        <w:t xml:space="preserve">Alasannya adalah ketiga rumah sakit </w:t>
      </w:r>
      <w:r>
        <w:rPr>
          <w:i/>
          <w:szCs w:val="24"/>
        </w:rPr>
        <w:t>benchmark</w:t>
      </w:r>
      <w:r>
        <w:rPr>
          <w:szCs w:val="24"/>
        </w:rPr>
        <w:t xml:space="preserve"> ini memiliki karakteristik yang sama dengan RSHS sebagai rumah sakit Pendidikan, dan telah terjalin kerjasama selama ini.</w:t>
      </w:r>
    </w:p>
    <w:p>
      <w:pPr>
        <w:pStyle w:val="3"/>
      </w:pPr>
      <w:bookmarkStart w:id="38" w:name="_Toc431267235"/>
      <w:r>
        <w:t>4.5 Analisis SWOT</w:t>
      </w:r>
      <w:bookmarkEnd w:id="38"/>
    </w:p>
    <w:p>
      <w:pPr>
        <w:spacing w:line="360" w:lineRule="auto"/>
        <w:ind w:firstLine="709"/>
        <w:jc w:val="both"/>
        <w:rPr>
          <w:szCs w:val="24"/>
          <w:lang w:val="sv-SE"/>
        </w:rPr>
      </w:pPr>
      <w:r>
        <w:rPr>
          <w:szCs w:val="24"/>
          <w:lang w:val="sv-SE"/>
        </w:rPr>
        <w:t xml:space="preserve">Analisis SWOT yang dilakukan merupakan upaya merepresentasikan berbagai faktor eksternal yang dinilai sebagian tidak sepenuhnya bisa dikendalikan dan bahkan sebagian sisa lainnya di luar kendali </w:t>
      </w:r>
      <w:r>
        <w:rPr>
          <w:szCs w:val="24"/>
        </w:rPr>
        <w:t>RSHS</w:t>
      </w:r>
      <w:r>
        <w:rPr>
          <w:szCs w:val="24"/>
          <w:lang w:val="sv-SE"/>
        </w:rPr>
        <w:t xml:space="preserve"> dan berbagai faktor internal yang sepenuhnya dapat dikendalikan oleh </w:t>
      </w:r>
      <w:r>
        <w:rPr>
          <w:szCs w:val="24"/>
        </w:rPr>
        <w:t xml:space="preserve">RSHS </w:t>
      </w:r>
      <w:r>
        <w:rPr>
          <w:szCs w:val="24"/>
          <w:lang w:val="sv-SE"/>
        </w:rPr>
        <w:t xml:space="preserve">dalam rangka mewujudkan visi organisasinya. Faktor eksternal direpresentasikan dalam analisis SWOT melalui </w:t>
      </w:r>
      <w:r>
        <w:rPr>
          <w:i/>
          <w:szCs w:val="24"/>
          <w:lang w:val="sv-SE"/>
        </w:rPr>
        <w:t xml:space="preserve">OPPORTUNITIES </w:t>
      </w:r>
      <w:r>
        <w:rPr>
          <w:szCs w:val="24"/>
          <w:lang w:val="sv-SE"/>
        </w:rPr>
        <w:t xml:space="preserve">(Peluang) dan </w:t>
      </w:r>
      <w:r>
        <w:rPr>
          <w:i/>
          <w:szCs w:val="24"/>
          <w:lang w:val="sv-SE"/>
        </w:rPr>
        <w:t>THREATS</w:t>
      </w:r>
      <w:r>
        <w:rPr>
          <w:i/>
          <w:szCs w:val="24"/>
          <w:lang w:val="id-ID"/>
        </w:rPr>
        <w:t xml:space="preserve"> </w:t>
      </w:r>
      <w:r>
        <w:rPr>
          <w:szCs w:val="24"/>
          <w:lang w:val="sv-SE"/>
        </w:rPr>
        <w:t>(Ancaman)</w:t>
      </w:r>
      <w:r>
        <w:rPr>
          <w:i/>
          <w:szCs w:val="24"/>
          <w:lang w:val="sv-SE"/>
        </w:rPr>
        <w:t xml:space="preserve">, </w:t>
      </w:r>
      <w:r>
        <w:rPr>
          <w:szCs w:val="24"/>
          <w:lang w:val="sv-SE"/>
        </w:rPr>
        <w:t>sedangkan</w:t>
      </w:r>
      <w:r>
        <w:rPr>
          <w:i/>
          <w:szCs w:val="24"/>
          <w:lang w:val="sv-SE"/>
        </w:rPr>
        <w:t xml:space="preserve"> STRENGTHS </w:t>
      </w:r>
      <w:r>
        <w:rPr>
          <w:szCs w:val="24"/>
          <w:lang w:val="sv-SE"/>
        </w:rPr>
        <w:t xml:space="preserve">(Kekuatan) dan </w:t>
      </w:r>
      <w:r>
        <w:rPr>
          <w:i/>
          <w:szCs w:val="24"/>
          <w:lang w:val="sv-SE"/>
        </w:rPr>
        <w:t xml:space="preserve">WEAKNESSES </w:t>
      </w:r>
      <w:r>
        <w:rPr>
          <w:szCs w:val="24"/>
          <w:lang w:val="sv-SE"/>
        </w:rPr>
        <w:t>(Kelemahan) merepresentasikan faktor internal.</w:t>
      </w:r>
    </w:p>
    <w:p>
      <w:pPr>
        <w:spacing w:line="360" w:lineRule="auto"/>
        <w:ind w:firstLine="709"/>
        <w:jc w:val="both"/>
        <w:rPr>
          <w:szCs w:val="24"/>
          <w:lang w:val="sv-SE"/>
        </w:rPr>
      </w:pPr>
      <w:r>
        <w:rPr>
          <w:szCs w:val="24"/>
          <w:lang w:val="sv-SE"/>
        </w:rPr>
        <w:t xml:space="preserve">Analisis dilakukan dengan menganalisa faktor-faktor eksternal organisasi yang akan memengaruhi jalannya roda organisasi </w:t>
      </w:r>
      <w:r>
        <w:rPr>
          <w:szCs w:val="24"/>
        </w:rPr>
        <w:t>RSHS</w:t>
      </w:r>
      <w:r>
        <w:rPr>
          <w:szCs w:val="24"/>
          <w:lang w:val="sv-SE"/>
        </w:rPr>
        <w:t xml:space="preserve"> dan kemudian berdasarkan pemahaman atas faktor eksternal tersebut dilanjutkan dengan menganalisa faktor internal organisasi dalam mewujudkan visi </w:t>
      </w:r>
      <w:r>
        <w:rPr>
          <w:szCs w:val="24"/>
        </w:rPr>
        <w:t>RSHS</w:t>
      </w:r>
      <w:r>
        <w:rPr>
          <w:szCs w:val="24"/>
          <w:lang w:val="sv-SE"/>
        </w:rPr>
        <w:t xml:space="preserve"> untuk periode tahun 2015-2019.</w:t>
      </w:r>
    </w:p>
    <w:p>
      <w:pPr>
        <w:spacing w:line="360" w:lineRule="auto"/>
        <w:jc w:val="both"/>
        <w:rPr>
          <w:szCs w:val="24"/>
          <w:lang w:val="sv-SE"/>
        </w:rPr>
      </w:pPr>
    </w:p>
    <w:p>
      <w:pPr>
        <w:spacing w:line="360" w:lineRule="auto"/>
        <w:jc w:val="both"/>
        <w:rPr>
          <w:szCs w:val="24"/>
          <w:lang w:val="sv-SE"/>
        </w:rPr>
      </w:pPr>
    </w:p>
    <w:p>
      <w:pPr>
        <w:spacing w:line="360" w:lineRule="auto"/>
        <w:jc w:val="both"/>
        <w:rPr>
          <w:b/>
          <w:i/>
          <w:szCs w:val="24"/>
          <w:lang w:val="id-ID"/>
        </w:rPr>
      </w:pPr>
      <w:r>
        <w:rPr>
          <w:b/>
          <w:i/>
          <w:szCs w:val="24"/>
          <w:lang w:val="id-ID"/>
        </w:rPr>
        <w:t xml:space="preserve">4.5.1.RSHS </w:t>
      </w:r>
    </w:p>
    <w:p>
      <w:pPr>
        <w:spacing w:line="360" w:lineRule="auto"/>
        <w:jc w:val="both"/>
        <w:rPr>
          <w:b/>
          <w:i/>
          <w:szCs w:val="24"/>
          <w:lang w:val="id-ID"/>
        </w:rPr>
      </w:pPr>
      <w:r>
        <w:rPr>
          <w:b/>
          <w:i/>
          <w:szCs w:val="24"/>
          <w:lang w:val="id-ID"/>
        </w:rPr>
        <w:t>a. Analisis SWOT RSHS</w:t>
      </w:r>
    </w:p>
    <w:p>
      <w:pPr>
        <w:spacing w:line="360" w:lineRule="auto"/>
        <w:jc w:val="both"/>
        <w:rPr>
          <w:szCs w:val="24"/>
          <w:lang w:val="sv-SE"/>
        </w:rPr>
      </w:pPr>
      <w:r>
        <w:rPr>
          <w:szCs w:val="24"/>
          <w:lang w:val="sv-SE"/>
        </w:rPr>
        <w:t xml:space="preserve">Berikut ini disajikan analisis faktor eksternal dan internal yang dinilai faktor-faktor </w:t>
      </w:r>
      <w:r>
        <w:rPr>
          <w:i/>
          <w:szCs w:val="24"/>
          <w:lang w:val="sv-SE"/>
        </w:rPr>
        <w:t>OPPORTUNITIES</w:t>
      </w:r>
      <w:r>
        <w:rPr>
          <w:szCs w:val="24"/>
          <w:lang w:val="sv-SE"/>
        </w:rPr>
        <w:t xml:space="preserve"> dan </w:t>
      </w:r>
      <w:r>
        <w:rPr>
          <w:i/>
          <w:szCs w:val="24"/>
          <w:lang w:val="sv-SE"/>
        </w:rPr>
        <w:t>THREATS</w:t>
      </w:r>
      <w:r>
        <w:rPr>
          <w:szCs w:val="24"/>
          <w:lang w:val="sv-SE"/>
        </w:rPr>
        <w:t xml:space="preserve"> serta  </w:t>
      </w:r>
      <w:r>
        <w:rPr>
          <w:i/>
          <w:szCs w:val="24"/>
          <w:lang w:val="sv-SE"/>
        </w:rPr>
        <w:t>STRENGTHS</w:t>
      </w:r>
      <w:r>
        <w:rPr>
          <w:szCs w:val="24"/>
          <w:lang w:val="sv-SE"/>
        </w:rPr>
        <w:t xml:space="preserve"> dan </w:t>
      </w:r>
      <w:r>
        <w:rPr>
          <w:i/>
          <w:szCs w:val="24"/>
          <w:lang w:val="sv-SE"/>
        </w:rPr>
        <w:t>WEAKNESSES</w:t>
      </w:r>
      <w:r>
        <w:rPr>
          <w:szCs w:val="24"/>
          <w:lang w:val="sv-SE"/>
        </w:rPr>
        <w:t xml:space="preserve"> dalam mewujudkan visi periode 2015-2019.</w:t>
      </w:r>
    </w:p>
    <w:p>
      <w:pPr>
        <w:spacing w:after="0" w:line="240" w:lineRule="auto"/>
        <w:rPr>
          <w:szCs w:val="24"/>
          <w:lang w:val="sv-SE"/>
        </w:rPr>
        <w:sectPr>
          <w:type w:val="continuous"/>
          <w:pgSz w:w="16839" w:h="11907" w:orient="landscape"/>
          <w:pgMar w:top="1440" w:right="1440" w:bottom="1440" w:left="1440" w:header="720" w:footer="60" w:gutter="0"/>
          <w:cols w:space="720" w:num="1"/>
          <w:docGrid w:linePitch="360" w:charSpace="0"/>
        </w:sectPr>
      </w:pPr>
      <w:r>
        <w:rPr>
          <w:szCs w:val="24"/>
          <w:lang w:val="sv-SE"/>
        </w:rPr>
        <w:br w:type="page"/>
      </w:r>
    </w:p>
    <w:p>
      <w:pPr>
        <w:pStyle w:val="28"/>
        <w:shd w:val="clear" w:color="auto" w:fill="259073" w:themeFill="accent2"/>
        <w:spacing w:line="360" w:lineRule="auto"/>
        <w:ind w:left="0"/>
        <w:jc w:val="center"/>
        <w:rPr>
          <w:b/>
          <w:color w:val="FFFFFF"/>
          <w:szCs w:val="24"/>
        </w:rPr>
      </w:pPr>
      <w:r>
        <w:rPr>
          <w:b/>
          <w:color w:val="FFFFFF"/>
          <w:szCs w:val="24"/>
        </w:rPr>
        <w:t>Peluang (</w:t>
      </w:r>
      <w:r>
        <w:rPr>
          <w:b/>
          <w:i/>
          <w:color w:val="FFFFFF"/>
          <w:szCs w:val="24"/>
        </w:rPr>
        <w:t>Opportunities</w:t>
      </w:r>
      <w:r>
        <w:rPr>
          <w:b/>
          <w:color w:val="FFFFFF"/>
          <w:szCs w:val="24"/>
        </w:rPr>
        <w:t>)</w:t>
      </w:r>
    </w:p>
    <w:p>
      <w:pPr>
        <w:pStyle w:val="28"/>
        <w:numPr>
          <w:ilvl w:val="1"/>
          <w:numId w:val="23"/>
        </w:numPr>
        <w:spacing w:line="360" w:lineRule="auto"/>
        <w:ind w:left="360"/>
        <w:jc w:val="both"/>
        <w:rPr>
          <w:szCs w:val="24"/>
          <w:lang w:val="id-ID"/>
        </w:rPr>
        <w:sectPr>
          <w:type w:val="continuous"/>
          <w:pgSz w:w="16839" w:h="11907" w:orient="landscape"/>
          <w:pgMar w:top="1440" w:right="1440" w:bottom="1440" w:left="1440" w:header="720" w:footer="60" w:gutter="0"/>
          <w:cols w:space="720" w:num="1"/>
          <w:docGrid w:linePitch="360" w:charSpace="0"/>
        </w:sectPr>
      </w:pPr>
    </w:p>
    <w:p>
      <w:pPr>
        <w:pStyle w:val="28"/>
        <w:numPr>
          <w:ilvl w:val="1"/>
          <w:numId w:val="23"/>
        </w:numPr>
        <w:spacing w:line="360" w:lineRule="auto"/>
        <w:ind w:left="360"/>
        <w:jc w:val="both"/>
        <w:rPr>
          <w:szCs w:val="24"/>
        </w:rPr>
      </w:pPr>
      <w:r>
        <w:rPr>
          <w:szCs w:val="24"/>
          <w:lang w:val="id-ID"/>
        </w:rPr>
        <w:t>JKN</w:t>
      </w:r>
    </w:p>
    <w:p>
      <w:pPr>
        <w:pStyle w:val="28"/>
        <w:numPr>
          <w:ilvl w:val="1"/>
          <w:numId w:val="23"/>
        </w:numPr>
        <w:spacing w:line="360" w:lineRule="auto"/>
        <w:ind w:left="360"/>
        <w:jc w:val="both"/>
        <w:rPr>
          <w:szCs w:val="24"/>
        </w:rPr>
      </w:pPr>
      <w:r>
        <w:rPr>
          <w:szCs w:val="24"/>
          <w:lang w:val="id-ID"/>
        </w:rPr>
        <w:t xml:space="preserve">Kerjasama intenasional (termasuk </w:t>
      </w:r>
      <w:r>
        <w:rPr>
          <w:i/>
          <w:szCs w:val="24"/>
          <w:lang w:val="id-ID"/>
        </w:rPr>
        <w:t>supp</w:t>
      </w:r>
      <w:r>
        <w:rPr>
          <w:i/>
          <w:szCs w:val="24"/>
        </w:rPr>
        <w:t>l</w:t>
      </w:r>
      <w:r>
        <w:rPr>
          <w:i/>
          <w:szCs w:val="24"/>
          <w:lang w:val="id-ID"/>
        </w:rPr>
        <w:t>ier hospital)</w:t>
      </w:r>
    </w:p>
    <w:p>
      <w:pPr>
        <w:pStyle w:val="28"/>
        <w:numPr>
          <w:ilvl w:val="1"/>
          <w:numId w:val="23"/>
        </w:numPr>
        <w:spacing w:line="360" w:lineRule="auto"/>
        <w:ind w:left="360"/>
        <w:jc w:val="both"/>
        <w:rPr>
          <w:szCs w:val="24"/>
        </w:rPr>
      </w:pPr>
      <w:r>
        <w:rPr>
          <w:szCs w:val="24"/>
          <w:lang w:val="id-ID"/>
        </w:rPr>
        <w:t>Kondisi demografis Jawa Barat ( penduduk yang banyak)</w:t>
      </w:r>
    </w:p>
    <w:p>
      <w:pPr>
        <w:pStyle w:val="28"/>
        <w:numPr>
          <w:ilvl w:val="1"/>
          <w:numId w:val="23"/>
        </w:numPr>
        <w:spacing w:line="360" w:lineRule="auto"/>
        <w:ind w:left="360"/>
        <w:jc w:val="both"/>
        <w:rPr>
          <w:szCs w:val="24"/>
        </w:rPr>
      </w:pPr>
      <w:r>
        <w:rPr>
          <w:szCs w:val="24"/>
          <w:lang w:val="id-ID"/>
        </w:rPr>
        <w:t>Dukungan Regulasi: UU Dikdok, kewajiban publikasi, sistem remunerasi, sistem kontrak kinerja SKP</w:t>
      </w:r>
    </w:p>
    <w:p>
      <w:pPr>
        <w:pStyle w:val="28"/>
        <w:numPr>
          <w:ilvl w:val="1"/>
          <w:numId w:val="23"/>
        </w:numPr>
        <w:spacing w:line="360" w:lineRule="auto"/>
        <w:ind w:left="360"/>
        <w:jc w:val="both"/>
        <w:rPr>
          <w:szCs w:val="24"/>
        </w:rPr>
      </w:pPr>
      <w:r>
        <w:rPr>
          <w:szCs w:val="24"/>
          <w:lang w:val="id-ID"/>
        </w:rPr>
        <w:t>Dukungan pemda Kab</w:t>
      </w:r>
      <w:r>
        <w:rPr>
          <w:szCs w:val="24"/>
        </w:rPr>
        <w:t>/K</w:t>
      </w:r>
      <w:r>
        <w:rPr>
          <w:szCs w:val="24"/>
          <w:lang w:val="id-ID"/>
        </w:rPr>
        <w:t>ota dan Pemprov Jawa Barat</w:t>
      </w:r>
    </w:p>
    <w:p>
      <w:pPr>
        <w:pStyle w:val="28"/>
        <w:numPr>
          <w:ilvl w:val="1"/>
          <w:numId w:val="23"/>
        </w:numPr>
        <w:spacing w:line="360" w:lineRule="auto"/>
        <w:ind w:left="360"/>
        <w:jc w:val="both"/>
        <w:rPr>
          <w:szCs w:val="24"/>
        </w:rPr>
      </w:pPr>
      <w:r>
        <w:rPr>
          <w:szCs w:val="24"/>
          <w:lang w:val="id-ID"/>
        </w:rPr>
        <w:t>Dukungan sebagai RS rujukan Nasional</w:t>
      </w:r>
    </w:p>
    <w:p>
      <w:pPr>
        <w:pStyle w:val="28"/>
        <w:numPr>
          <w:ilvl w:val="1"/>
          <w:numId w:val="23"/>
        </w:numPr>
        <w:spacing w:line="360" w:lineRule="auto"/>
        <w:ind w:left="360"/>
        <w:jc w:val="both"/>
        <w:rPr>
          <w:szCs w:val="24"/>
        </w:rPr>
      </w:pPr>
      <w:r>
        <w:rPr>
          <w:szCs w:val="24"/>
          <w:lang w:val="id-ID"/>
        </w:rPr>
        <w:t>Perkembangan teknologi kesehatan</w:t>
      </w:r>
    </w:p>
    <w:p>
      <w:pPr>
        <w:pStyle w:val="28"/>
        <w:numPr>
          <w:ilvl w:val="1"/>
          <w:numId w:val="23"/>
        </w:numPr>
        <w:spacing w:line="360" w:lineRule="auto"/>
        <w:ind w:left="360"/>
        <w:jc w:val="both"/>
        <w:rPr>
          <w:szCs w:val="24"/>
        </w:rPr>
      </w:pPr>
      <w:r>
        <w:rPr>
          <w:szCs w:val="24"/>
          <w:lang w:val="id-ID"/>
        </w:rPr>
        <w:t>Peningkatan kesadaran masyarakat terhadap kesehatan</w:t>
      </w:r>
    </w:p>
    <w:p>
      <w:pPr>
        <w:shd w:val="clear" w:color="auto" w:fill="259073" w:themeFill="accent2"/>
        <w:spacing w:line="360" w:lineRule="auto"/>
        <w:jc w:val="center"/>
        <w:rPr>
          <w:b/>
          <w:color w:val="FFFFFF"/>
          <w:szCs w:val="24"/>
        </w:rPr>
        <w:sectPr>
          <w:type w:val="continuous"/>
          <w:pgSz w:w="16839" w:h="11907" w:orient="landscape"/>
          <w:pgMar w:top="1440" w:right="1440" w:bottom="1440" w:left="1440" w:header="720" w:footer="60" w:gutter="0"/>
          <w:cols w:space="720" w:num="2"/>
          <w:docGrid w:linePitch="360" w:charSpace="0"/>
        </w:sectPr>
      </w:pPr>
    </w:p>
    <w:p>
      <w:pPr>
        <w:shd w:val="clear" w:color="auto" w:fill="259073" w:themeFill="accent2"/>
        <w:spacing w:line="360" w:lineRule="auto"/>
        <w:jc w:val="center"/>
        <w:rPr>
          <w:b/>
          <w:color w:val="FFFFFF"/>
          <w:szCs w:val="24"/>
        </w:rPr>
      </w:pPr>
      <w:r>
        <w:rPr>
          <w:b/>
          <w:color w:val="FFFFFF"/>
          <w:szCs w:val="24"/>
        </w:rPr>
        <w:t>Ancaman (</w:t>
      </w:r>
      <w:r>
        <w:rPr>
          <w:b/>
          <w:i/>
          <w:color w:val="FFFFFF"/>
          <w:szCs w:val="24"/>
        </w:rPr>
        <w:t>Threats</w:t>
      </w:r>
      <w:r>
        <w:rPr>
          <w:b/>
          <w:color w:val="FFFFFF"/>
          <w:szCs w:val="24"/>
        </w:rPr>
        <w:t>)</w:t>
      </w:r>
    </w:p>
    <w:p>
      <w:pPr>
        <w:pStyle w:val="28"/>
        <w:numPr>
          <w:ilvl w:val="0"/>
          <w:numId w:val="24"/>
        </w:numPr>
        <w:spacing w:line="360" w:lineRule="auto"/>
        <w:ind w:left="360"/>
        <w:rPr>
          <w:szCs w:val="24"/>
        </w:rPr>
        <w:sectPr>
          <w:type w:val="continuous"/>
          <w:pgSz w:w="16839" w:h="11907" w:orient="landscape"/>
          <w:pgMar w:top="1440" w:right="1440" w:bottom="1440" w:left="1440" w:header="720" w:footer="60" w:gutter="0"/>
          <w:cols w:space="720" w:num="1"/>
          <w:docGrid w:linePitch="360" w:charSpace="0"/>
        </w:sectPr>
      </w:pPr>
    </w:p>
    <w:p>
      <w:pPr>
        <w:pStyle w:val="28"/>
        <w:numPr>
          <w:ilvl w:val="0"/>
          <w:numId w:val="24"/>
        </w:numPr>
        <w:spacing w:line="360" w:lineRule="auto"/>
        <w:ind w:left="360"/>
        <w:rPr>
          <w:szCs w:val="24"/>
        </w:rPr>
      </w:pPr>
      <w:r>
        <w:rPr>
          <w:szCs w:val="24"/>
        </w:rPr>
        <w:t>Diberlakukannya MEA (Masyarakat Ekonomi Asean)</w:t>
      </w:r>
    </w:p>
    <w:p>
      <w:pPr>
        <w:pStyle w:val="28"/>
        <w:numPr>
          <w:ilvl w:val="0"/>
          <w:numId w:val="24"/>
        </w:numPr>
        <w:spacing w:line="360" w:lineRule="auto"/>
        <w:ind w:left="360"/>
        <w:rPr>
          <w:szCs w:val="24"/>
        </w:rPr>
      </w:pPr>
      <w:r>
        <w:rPr>
          <w:szCs w:val="24"/>
        </w:rPr>
        <w:t>Keberadaan jaringan institusi lain sebagai kompetitor yang memberikan daya tarik yang lebih bagi pasien dan calon staf</w:t>
      </w:r>
    </w:p>
    <w:p>
      <w:pPr>
        <w:pStyle w:val="28"/>
        <w:numPr>
          <w:ilvl w:val="0"/>
          <w:numId w:val="24"/>
        </w:numPr>
        <w:spacing w:line="360" w:lineRule="auto"/>
        <w:ind w:left="360"/>
        <w:rPr>
          <w:szCs w:val="24"/>
        </w:rPr>
      </w:pPr>
      <w:r>
        <w:rPr>
          <w:szCs w:val="24"/>
        </w:rPr>
        <w:t>Ketidakpastian dukungan dana pemerintah</w:t>
      </w:r>
    </w:p>
    <w:p>
      <w:pPr>
        <w:pStyle w:val="28"/>
        <w:numPr>
          <w:ilvl w:val="0"/>
          <w:numId w:val="24"/>
        </w:numPr>
        <w:spacing w:line="360" w:lineRule="auto"/>
        <w:ind w:left="360"/>
        <w:jc w:val="both"/>
        <w:rPr>
          <w:szCs w:val="24"/>
        </w:rPr>
      </w:pPr>
      <w:r>
        <w:rPr>
          <w:szCs w:val="24"/>
        </w:rPr>
        <w:t>Semakin terbukanya informasi dan meningkatnya kesadaran hukum pasien (potensi tuntutan hukum dari pasien)</w:t>
      </w:r>
    </w:p>
    <w:p>
      <w:pPr>
        <w:pStyle w:val="28"/>
        <w:numPr>
          <w:ilvl w:val="0"/>
          <w:numId w:val="24"/>
        </w:numPr>
        <w:spacing w:line="360" w:lineRule="auto"/>
        <w:ind w:left="360"/>
        <w:rPr>
          <w:szCs w:val="24"/>
        </w:rPr>
      </w:pPr>
      <w:r>
        <w:rPr>
          <w:szCs w:val="24"/>
        </w:rPr>
        <w:t>Ketergantungan kepada suplier (obat dan alat kesehatan)</w:t>
      </w:r>
    </w:p>
    <w:p>
      <w:pPr>
        <w:pStyle w:val="28"/>
        <w:numPr>
          <w:ilvl w:val="0"/>
          <w:numId w:val="24"/>
        </w:numPr>
        <w:spacing w:line="360" w:lineRule="auto"/>
        <w:ind w:left="360"/>
        <w:rPr>
          <w:szCs w:val="24"/>
        </w:rPr>
      </w:pPr>
      <w:r>
        <w:rPr>
          <w:szCs w:val="24"/>
        </w:rPr>
        <w:t>Perubahan regulasi dan kompleksitas regulator</w:t>
      </w:r>
    </w:p>
    <w:p>
      <w:pPr>
        <w:pStyle w:val="28"/>
        <w:numPr>
          <w:ilvl w:val="0"/>
          <w:numId w:val="24"/>
        </w:numPr>
        <w:spacing w:line="360" w:lineRule="auto"/>
        <w:ind w:left="360"/>
        <w:rPr>
          <w:szCs w:val="24"/>
        </w:rPr>
      </w:pPr>
      <w:r>
        <w:rPr>
          <w:szCs w:val="24"/>
        </w:rPr>
        <w:t>Ketidakstabilan nilai tukar rupiah</w:t>
      </w:r>
    </w:p>
    <w:p>
      <w:pPr>
        <w:ind w:firstLine="288"/>
        <w:rPr>
          <w:szCs w:val="24"/>
        </w:rPr>
        <w:sectPr>
          <w:type w:val="continuous"/>
          <w:pgSz w:w="16839" w:h="11907" w:orient="landscape"/>
          <w:pgMar w:top="1440" w:right="1440" w:bottom="1440" w:left="1440" w:header="720" w:footer="60" w:gutter="0"/>
          <w:cols w:space="720" w:num="2"/>
          <w:docGrid w:linePitch="360" w:charSpace="0"/>
        </w:sectPr>
      </w:pPr>
    </w:p>
    <w:p>
      <w:pPr>
        <w:pStyle w:val="28"/>
        <w:shd w:val="clear" w:color="auto" w:fill="259073" w:themeFill="accent2"/>
        <w:spacing w:line="360" w:lineRule="auto"/>
        <w:ind w:left="0"/>
        <w:jc w:val="center"/>
        <w:rPr>
          <w:b/>
          <w:color w:val="FFFFFF"/>
          <w:szCs w:val="24"/>
        </w:rPr>
      </w:pPr>
      <w:r>
        <w:rPr>
          <w:b/>
          <w:color w:val="FFFFFF"/>
          <w:szCs w:val="24"/>
        </w:rPr>
        <w:t>Kekuatan (</w:t>
      </w:r>
      <w:r>
        <w:rPr>
          <w:b/>
          <w:i/>
          <w:color w:val="FFFFFF"/>
          <w:szCs w:val="24"/>
        </w:rPr>
        <w:t>Strengths</w:t>
      </w:r>
      <w:r>
        <w:rPr>
          <w:b/>
          <w:color w:val="FFFFFF"/>
          <w:szCs w:val="24"/>
        </w:rPr>
        <w:t>)</w:t>
      </w:r>
    </w:p>
    <w:p>
      <w:pPr>
        <w:pStyle w:val="28"/>
        <w:numPr>
          <w:ilvl w:val="0"/>
          <w:numId w:val="25"/>
        </w:numPr>
        <w:spacing w:line="360" w:lineRule="auto"/>
        <w:ind w:left="360"/>
        <w:rPr>
          <w:szCs w:val="24"/>
        </w:rPr>
        <w:sectPr>
          <w:type w:val="continuous"/>
          <w:pgSz w:w="16839" w:h="11907" w:orient="landscape"/>
          <w:pgMar w:top="1440" w:right="1440" w:bottom="1440" w:left="1440" w:header="720" w:footer="60" w:gutter="0"/>
          <w:cols w:space="720" w:num="1"/>
          <w:docGrid w:linePitch="360" w:charSpace="0"/>
        </w:sectPr>
      </w:pPr>
    </w:p>
    <w:p>
      <w:pPr>
        <w:pStyle w:val="28"/>
        <w:numPr>
          <w:ilvl w:val="0"/>
          <w:numId w:val="25"/>
        </w:numPr>
        <w:spacing w:line="360" w:lineRule="auto"/>
        <w:ind w:left="360"/>
        <w:rPr>
          <w:szCs w:val="24"/>
        </w:rPr>
      </w:pPr>
      <w:r>
        <w:rPr>
          <w:szCs w:val="24"/>
        </w:rPr>
        <w:t>Sudah memiliki 133 layanan sub-spesialistik</w:t>
      </w:r>
    </w:p>
    <w:p>
      <w:pPr>
        <w:pStyle w:val="28"/>
        <w:numPr>
          <w:ilvl w:val="0"/>
          <w:numId w:val="25"/>
        </w:numPr>
        <w:spacing w:line="360" w:lineRule="auto"/>
        <w:ind w:left="360"/>
        <w:rPr>
          <w:szCs w:val="24"/>
        </w:rPr>
      </w:pPr>
      <w:r>
        <w:rPr>
          <w:szCs w:val="24"/>
        </w:rPr>
        <w:t>Ragam kasus yang tinggi (untuk pendidikan dan penelitian)</w:t>
      </w:r>
    </w:p>
    <w:p>
      <w:pPr>
        <w:pStyle w:val="28"/>
        <w:numPr>
          <w:ilvl w:val="0"/>
          <w:numId w:val="25"/>
        </w:numPr>
        <w:spacing w:line="360" w:lineRule="auto"/>
        <w:ind w:left="360"/>
        <w:rPr>
          <w:szCs w:val="24"/>
        </w:rPr>
      </w:pPr>
      <w:r>
        <w:rPr>
          <w:szCs w:val="24"/>
        </w:rPr>
        <w:t>Jumlah dokter SDM subspesialistik</w:t>
      </w:r>
      <w:r>
        <w:rPr>
          <w:szCs w:val="24"/>
          <w:lang w:val="id-ID"/>
        </w:rPr>
        <w:t xml:space="preserve"> </w:t>
      </w:r>
      <w:r>
        <w:rPr>
          <w:szCs w:val="24"/>
        </w:rPr>
        <w:t>sebanyak 325 orang</w:t>
      </w:r>
    </w:p>
    <w:p>
      <w:pPr>
        <w:pStyle w:val="28"/>
        <w:numPr>
          <w:ilvl w:val="0"/>
          <w:numId w:val="25"/>
        </w:numPr>
        <w:spacing w:line="360" w:lineRule="auto"/>
        <w:ind w:left="360"/>
        <w:rPr>
          <w:szCs w:val="24"/>
        </w:rPr>
      </w:pPr>
      <w:r>
        <w:rPr>
          <w:szCs w:val="24"/>
        </w:rPr>
        <w:t>Jumlah PPDS 1300 orang</w:t>
      </w:r>
    </w:p>
    <w:p>
      <w:pPr>
        <w:pStyle w:val="28"/>
        <w:numPr>
          <w:ilvl w:val="0"/>
          <w:numId w:val="25"/>
        </w:numPr>
        <w:spacing w:line="360" w:lineRule="auto"/>
        <w:ind w:left="360"/>
        <w:rPr>
          <w:szCs w:val="24"/>
        </w:rPr>
      </w:pPr>
      <w:r>
        <w:rPr>
          <w:szCs w:val="24"/>
        </w:rPr>
        <w:t>Sudah memiliki layanan unggulan dalam kedokteran nuklir</w:t>
      </w:r>
    </w:p>
    <w:p>
      <w:pPr>
        <w:pStyle w:val="28"/>
        <w:numPr>
          <w:ilvl w:val="0"/>
          <w:numId w:val="25"/>
        </w:numPr>
        <w:spacing w:line="360" w:lineRule="auto"/>
        <w:ind w:left="360"/>
        <w:rPr>
          <w:sz w:val="20"/>
          <w:szCs w:val="24"/>
        </w:rPr>
      </w:pPr>
      <w:r>
        <w:rPr>
          <w:szCs w:val="24"/>
        </w:rPr>
        <w:t>Sudah memiliki jaringan kemitraan (network hospital, dll)</w:t>
      </w:r>
    </w:p>
    <w:p>
      <w:pPr>
        <w:spacing w:after="0" w:line="240" w:lineRule="auto"/>
        <w:rPr>
          <w:b/>
          <w:color w:val="FFFFFF"/>
          <w:szCs w:val="24"/>
          <w:lang w:val="id-ID"/>
        </w:rPr>
        <w:sectPr>
          <w:type w:val="continuous"/>
          <w:pgSz w:w="16839" w:h="11907" w:orient="landscape"/>
          <w:pgMar w:top="1440" w:right="1440" w:bottom="1440" w:left="1440" w:header="720" w:footer="60" w:gutter="0"/>
          <w:cols w:space="720" w:num="2"/>
          <w:docGrid w:linePitch="360" w:charSpace="0"/>
        </w:sectPr>
      </w:pPr>
    </w:p>
    <w:p>
      <w:pPr>
        <w:pStyle w:val="28"/>
        <w:shd w:val="clear" w:color="auto" w:fill="259073" w:themeFill="accent2"/>
        <w:spacing w:line="360" w:lineRule="auto"/>
        <w:ind w:left="0"/>
        <w:jc w:val="center"/>
        <w:rPr>
          <w:b/>
          <w:color w:val="FFFFFF"/>
          <w:szCs w:val="24"/>
          <w:lang w:val="id-ID"/>
        </w:rPr>
      </w:pPr>
      <w:r>
        <w:rPr>
          <w:b/>
          <w:color w:val="FFFFFF"/>
          <w:szCs w:val="24"/>
          <w:lang w:val="id-ID"/>
        </w:rPr>
        <w:t>Kelemahan (Weakness)</w:t>
      </w:r>
    </w:p>
    <w:p>
      <w:pPr>
        <w:pStyle w:val="28"/>
        <w:numPr>
          <w:ilvl w:val="0"/>
          <w:numId w:val="25"/>
        </w:numPr>
        <w:spacing w:line="360" w:lineRule="auto"/>
        <w:ind w:left="360"/>
        <w:rPr>
          <w:szCs w:val="24"/>
        </w:rPr>
        <w:sectPr>
          <w:type w:val="continuous"/>
          <w:pgSz w:w="16839" w:h="11907" w:orient="landscape"/>
          <w:pgMar w:top="1440" w:right="1440" w:bottom="1440" w:left="1440" w:header="720" w:footer="60" w:gutter="0"/>
          <w:cols w:space="720" w:num="1"/>
          <w:docGrid w:linePitch="360" w:charSpace="0"/>
        </w:sectPr>
      </w:pP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Masih rendahnya keandalan sarana dan prasarana</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IT belum terintegrasi</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 xml:space="preserve">Belum optimalnya sistem </w:t>
      </w:r>
      <w:r>
        <w:rPr>
          <w:rFonts w:asciiTheme="minorHAnsi" w:hAnsiTheme="minorHAnsi"/>
          <w:i/>
          <w:szCs w:val="24"/>
        </w:rPr>
        <w:t>reward &amp; consequence</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Belum optimalnya sistem jejaring pelayanan</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Rasio perawat belum ideal</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Belum optimalnya integrasi pelayanan, pendidikan dan penelitian (proses bisnis tersegmentasi)</w:t>
      </w:r>
    </w:p>
    <w:p>
      <w:pPr>
        <w:pStyle w:val="28"/>
        <w:numPr>
          <w:ilvl w:val="0"/>
          <w:numId w:val="26"/>
        </w:numPr>
        <w:spacing w:line="360" w:lineRule="auto"/>
        <w:ind w:left="567" w:hanging="567"/>
        <w:rPr>
          <w:rFonts w:asciiTheme="minorHAnsi" w:hAnsiTheme="minorHAnsi"/>
          <w:szCs w:val="24"/>
        </w:rPr>
      </w:pPr>
      <w:r>
        <w:rPr>
          <w:rFonts w:asciiTheme="minorHAnsi" w:hAnsiTheme="minorHAnsi"/>
          <w:szCs w:val="24"/>
        </w:rPr>
        <w:t>Belum terbangunnya budaya kinerja, budaya kolaboratif dan budaya transformatif</w:t>
      </w:r>
    </w:p>
    <w:p>
      <w:pPr>
        <w:pStyle w:val="28"/>
        <w:spacing w:line="360" w:lineRule="auto"/>
        <w:ind w:left="567"/>
        <w:rPr>
          <w:rFonts w:asciiTheme="minorHAnsi" w:hAnsiTheme="minorHAnsi"/>
          <w:szCs w:val="24"/>
        </w:rPr>
      </w:pPr>
    </w:p>
    <w:p>
      <w:pPr>
        <w:spacing w:line="360" w:lineRule="auto"/>
        <w:ind w:left="567" w:hanging="567"/>
        <w:rPr>
          <w:rFonts w:asciiTheme="minorHAnsi" w:hAnsiTheme="minorHAnsi"/>
          <w:szCs w:val="24"/>
        </w:rPr>
        <w:sectPr>
          <w:type w:val="continuous"/>
          <w:pgSz w:w="16839" w:h="11907" w:orient="landscape"/>
          <w:pgMar w:top="1440" w:right="1440" w:bottom="1440" w:left="1440" w:header="720" w:footer="60" w:gutter="0"/>
          <w:cols w:space="720" w:num="2"/>
          <w:docGrid w:linePitch="360" w:charSpace="0"/>
        </w:sectPr>
      </w:pPr>
    </w:p>
    <w:p>
      <w:pPr>
        <w:rPr>
          <w:color w:val="FF0000"/>
          <w:lang w:val="id-ID"/>
        </w:rPr>
      </w:pPr>
    </w:p>
    <w:p>
      <w:pPr>
        <w:pStyle w:val="28"/>
        <w:numPr>
          <w:ilvl w:val="0"/>
          <w:numId w:val="9"/>
        </w:numPr>
        <w:ind w:left="426"/>
        <w:rPr>
          <w:b/>
          <w:i/>
        </w:rPr>
      </w:pPr>
      <w:r>
        <w:rPr>
          <w:b/>
          <w:i/>
        </w:rPr>
        <w:t>Diagram Kartesian Pilihan Prioritas Strategis</w:t>
      </w:r>
    </w:p>
    <w:p>
      <w:pPr>
        <w:spacing w:line="360" w:lineRule="auto"/>
        <w:ind w:firstLine="709"/>
        <w:jc w:val="both"/>
        <w:rPr>
          <w:szCs w:val="24"/>
        </w:rPr>
      </w:pPr>
      <w:r>
        <w:rPr>
          <w:szCs w:val="24"/>
        </w:rPr>
        <w:t xml:space="preserve">Tujuan bagian ini adalah untuk menentukan posisi bersaing RSHS untuk mewujudkan visi periode tahun 2015-2019. Penilaian posisi bersaing ini dilakukan dengan memperhatikan </w:t>
      </w:r>
      <w:r>
        <w:rPr>
          <w:i/>
          <w:szCs w:val="24"/>
        </w:rPr>
        <w:t>benchmark</w:t>
      </w:r>
      <w:r>
        <w:rPr>
          <w:szCs w:val="24"/>
        </w:rPr>
        <w:t xml:space="preserve"> (patok duga). Posisi bersaing RSHS</w:t>
      </w:r>
      <w:r>
        <w:rPr>
          <w:szCs w:val="24"/>
          <w:lang w:val="id-ID"/>
        </w:rPr>
        <w:t xml:space="preserve"> </w:t>
      </w:r>
      <w:r>
        <w:rPr>
          <w:szCs w:val="24"/>
        </w:rPr>
        <w:t xml:space="preserve">dilakukan dengan memperhatikan hasil analisa SWOT dan </w:t>
      </w:r>
      <w:r>
        <w:rPr>
          <w:i/>
          <w:szCs w:val="24"/>
        </w:rPr>
        <w:t>benchmark</w:t>
      </w:r>
      <w:r>
        <w:rPr>
          <w:szCs w:val="24"/>
        </w:rPr>
        <w:t>.</w:t>
      </w:r>
    </w:p>
    <w:p>
      <w:pPr>
        <w:spacing w:line="360" w:lineRule="auto"/>
        <w:ind w:firstLine="709"/>
        <w:jc w:val="both"/>
        <w:rPr>
          <w:szCs w:val="24"/>
        </w:rPr>
      </w:pPr>
      <w:r>
        <w:rPr>
          <w:szCs w:val="24"/>
        </w:rPr>
        <w:t>Berikut ini disajikan analisa posisi bersaing RSHS</w:t>
      </w:r>
      <w:r>
        <w:rPr>
          <w:szCs w:val="24"/>
          <w:lang w:val="id-ID"/>
        </w:rPr>
        <w:t xml:space="preserve"> </w:t>
      </w:r>
      <w:r>
        <w:rPr>
          <w:szCs w:val="24"/>
        </w:rPr>
        <w:t>untuk periode tahun 2015-2019.</w:t>
      </w:r>
    </w:p>
    <w:p>
      <w:pPr>
        <w:spacing w:after="0" w:line="360" w:lineRule="auto"/>
        <w:jc w:val="both"/>
        <w:rPr>
          <w:szCs w:val="24"/>
        </w:rPr>
        <w:sectPr>
          <w:type w:val="continuous"/>
          <w:pgSz w:w="16839" w:h="11907" w:orient="landscape"/>
          <w:pgMar w:top="1440" w:right="1440" w:bottom="1440" w:left="1440" w:header="720" w:footer="60" w:gutter="0"/>
          <w:cols w:space="720" w:num="1"/>
          <w:docGrid w:linePitch="360" w:charSpace="0"/>
        </w:sectPr>
      </w:pPr>
    </w:p>
    <w:p>
      <w:pPr>
        <w:spacing w:after="0"/>
        <w:jc w:val="both"/>
        <w:rPr>
          <w:color w:val="FF0000"/>
          <w:szCs w:val="24"/>
        </w:rPr>
        <w:sectPr>
          <w:type w:val="continuous"/>
          <w:pgSz w:w="16839" w:h="11907" w:orient="landscape"/>
          <w:pgMar w:top="1440" w:right="1440" w:bottom="1440" w:left="1440" w:header="720" w:footer="60" w:gutter="0"/>
          <w:cols w:space="720" w:num="1"/>
          <w:docGrid w:linePitch="360" w:charSpace="0"/>
        </w:sectPr>
      </w:pPr>
    </w:p>
    <w:p>
      <w:pPr>
        <w:spacing w:after="0"/>
        <w:jc w:val="both"/>
        <w:rPr>
          <w:color w:val="FF0000"/>
          <w:szCs w:val="24"/>
        </w:rPr>
      </w:pPr>
    </w:p>
    <w:p>
      <w:pPr>
        <w:spacing w:after="0" w:line="240" w:lineRule="auto"/>
        <w:rPr>
          <w:b/>
          <w:bCs/>
          <w:color w:val="FF0000"/>
          <w:szCs w:val="18"/>
        </w:rPr>
      </w:pPr>
      <w:bookmarkStart w:id="39" w:name="_Toc426658401"/>
      <w:r>
        <w:rPr>
          <w:color w:val="FF0000"/>
        </w:rPr>
        <w:br w:type="page"/>
      </w:r>
    </w:p>
    <w:p>
      <w:pPr>
        <w:pStyle w:val="9"/>
        <w:rPr>
          <w:szCs w:val="24"/>
          <w:lang w:val="id-ID"/>
        </w:rPr>
      </w:pPr>
      <w:bookmarkStart w:id="40" w:name="_Toc430523100"/>
      <w:r>
        <w:t xml:space="preserve">Tabel 4. </w:t>
      </w:r>
      <w:r>
        <w:fldChar w:fldCharType="begin"/>
      </w:r>
      <w:r>
        <w:instrText xml:space="preserve"> SEQ Tabel_4. \* ARABIC </w:instrText>
      </w:r>
      <w:r>
        <w:fldChar w:fldCharType="separate"/>
      </w:r>
      <w:r>
        <w:t>3</w:t>
      </w:r>
      <w:r>
        <w:fldChar w:fldCharType="end"/>
      </w:r>
      <w:r>
        <w:t xml:space="preserve"> </w:t>
      </w:r>
      <w:r>
        <w:rPr>
          <w:szCs w:val="24"/>
        </w:rPr>
        <w:t>Peluang (</w:t>
      </w:r>
      <w:r>
        <w:rPr>
          <w:i/>
          <w:szCs w:val="24"/>
        </w:rPr>
        <w:t>Opportunity</w:t>
      </w:r>
      <w:r>
        <w:rPr>
          <w:szCs w:val="24"/>
        </w:rPr>
        <w:t>)</w:t>
      </w:r>
      <w:bookmarkEnd w:id="39"/>
      <w:r>
        <w:rPr>
          <w:szCs w:val="24"/>
          <w:lang w:val="id-ID"/>
        </w:rPr>
        <w:t xml:space="preserve"> RSHS</w:t>
      </w:r>
      <w:bookmarkEnd w:id="40"/>
    </w:p>
    <w:tbl>
      <w:tblPr>
        <w:tblStyle w:val="26"/>
        <w:tblW w:w="13949" w:type="dxa"/>
        <w:tblInd w:w="0" w:type="dxa"/>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
      <w:tblGrid>
        <w:gridCol w:w="10645"/>
        <w:gridCol w:w="843"/>
        <w:gridCol w:w="1666"/>
        <w:gridCol w:w="795"/>
      </w:tblGrid>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10645" w:type="dxa"/>
            <w:shd w:val="clear" w:color="auto" w:fill="EBCC6E"/>
          </w:tcPr>
          <w:p>
            <w:pPr>
              <w:spacing w:after="0"/>
              <w:rPr>
                <w:sz w:val="22"/>
              </w:rPr>
            </w:pPr>
            <w:r>
              <w:rPr>
                <w:sz w:val="22"/>
              </w:rPr>
              <w:t>Peluang(</w:t>
            </w:r>
            <w:r>
              <w:rPr>
                <w:i/>
                <w:sz w:val="22"/>
              </w:rPr>
              <w:t>Opportunity</w:t>
            </w:r>
            <w:r>
              <w:rPr>
                <w:sz w:val="22"/>
              </w:rPr>
              <w:t>)</w:t>
            </w:r>
          </w:p>
        </w:tc>
        <w:tc>
          <w:tcPr>
            <w:tcW w:w="843" w:type="dxa"/>
            <w:shd w:val="clear" w:color="auto" w:fill="EBCC6E"/>
          </w:tcPr>
          <w:p>
            <w:pPr>
              <w:spacing w:after="0"/>
              <w:jc w:val="center"/>
              <w:rPr>
                <w:sz w:val="22"/>
              </w:rPr>
            </w:pPr>
            <w:r>
              <w:rPr>
                <w:sz w:val="22"/>
              </w:rPr>
              <w:t>Bobot</w:t>
            </w:r>
          </w:p>
        </w:tc>
        <w:tc>
          <w:tcPr>
            <w:tcW w:w="1666" w:type="dxa"/>
            <w:shd w:val="clear" w:color="auto" w:fill="EBCC6E"/>
          </w:tcPr>
          <w:p>
            <w:pPr>
              <w:spacing w:after="0"/>
              <w:jc w:val="center"/>
              <w:rPr>
                <w:sz w:val="22"/>
              </w:rPr>
            </w:pPr>
            <w:r>
              <w:rPr>
                <w:sz w:val="22"/>
              </w:rPr>
              <w:t>Rating (1-100)</w:t>
            </w:r>
          </w:p>
        </w:tc>
        <w:tc>
          <w:tcPr>
            <w:tcW w:w="795" w:type="dxa"/>
            <w:shd w:val="clear" w:color="auto" w:fill="EBCC6E"/>
          </w:tcPr>
          <w:p>
            <w:pPr>
              <w:spacing w:after="0"/>
              <w:jc w:val="center"/>
              <w:rPr>
                <w:sz w:val="22"/>
              </w:rPr>
            </w:pPr>
            <w:r>
              <w:rPr>
                <w:sz w:val="22"/>
              </w:rPr>
              <w:t>Nilai</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10645" w:type="dxa"/>
            <w:shd w:val="clear" w:color="auto" w:fill="auto"/>
          </w:tcPr>
          <w:p>
            <w:pPr>
              <w:spacing w:after="0"/>
              <w:ind w:left="360" w:hanging="360"/>
              <w:rPr>
                <w:sz w:val="22"/>
              </w:rPr>
            </w:pPr>
            <w:r>
              <w:rPr>
                <w:sz w:val="22"/>
              </w:rPr>
              <w:t>1.    JKN</w:t>
            </w:r>
          </w:p>
        </w:tc>
        <w:tc>
          <w:tcPr>
            <w:tcW w:w="843" w:type="dxa"/>
            <w:shd w:val="clear" w:color="auto" w:fill="auto"/>
          </w:tcPr>
          <w:p>
            <w:pPr>
              <w:spacing w:after="0"/>
              <w:jc w:val="center"/>
              <w:rPr>
                <w:sz w:val="22"/>
              </w:rPr>
            </w:pPr>
            <w:r>
              <w:rPr>
                <w:sz w:val="22"/>
              </w:rPr>
              <w:t>20</w:t>
            </w:r>
          </w:p>
        </w:tc>
        <w:tc>
          <w:tcPr>
            <w:tcW w:w="1666" w:type="dxa"/>
            <w:shd w:val="clear" w:color="auto" w:fill="auto"/>
          </w:tcPr>
          <w:p>
            <w:pPr>
              <w:spacing w:after="0"/>
              <w:jc w:val="center"/>
              <w:rPr>
                <w:sz w:val="22"/>
              </w:rPr>
            </w:pPr>
            <w:r>
              <w:rPr>
                <w:sz w:val="22"/>
              </w:rPr>
              <w:t>90</w:t>
            </w:r>
          </w:p>
        </w:tc>
        <w:tc>
          <w:tcPr>
            <w:tcW w:w="795" w:type="dxa"/>
            <w:shd w:val="clear" w:color="auto" w:fill="auto"/>
          </w:tcPr>
          <w:p>
            <w:pPr>
              <w:spacing w:after="0"/>
              <w:jc w:val="center"/>
              <w:rPr>
                <w:sz w:val="22"/>
              </w:rPr>
            </w:pPr>
            <w:r>
              <w:rPr>
                <w:sz w:val="22"/>
              </w:rPr>
              <w:t>18</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75" w:hRule="atLeast"/>
        </w:trPr>
        <w:tc>
          <w:tcPr>
            <w:tcW w:w="10645" w:type="dxa"/>
            <w:shd w:val="clear" w:color="auto" w:fill="auto"/>
          </w:tcPr>
          <w:p>
            <w:pPr>
              <w:spacing w:after="0"/>
              <w:ind w:left="360" w:hanging="360"/>
              <w:rPr>
                <w:sz w:val="22"/>
              </w:rPr>
            </w:pPr>
            <w:r>
              <w:rPr>
                <w:sz w:val="22"/>
              </w:rPr>
              <w:t xml:space="preserve">2.    Kerjasama internasional (termasuk </w:t>
            </w:r>
            <w:r>
              <w:rPr>
                <w:i/>
                <w:sz w:val="22"/>
              </w:rPr>
              <w:t>sister hospital</w:t>
            </w:r>
            <w:r>
              <w:rPr>
                <w:sz w:val="22"/>
              </w:rPr>
              <w:t>)</w:t>
            </w:r>
          </w:p>
        </w:tc>
        <w:tc>
          <w:tcPr>
            <w:tcW w:w="843" w:type="dxa"/>
            <w:shd w:val="clear" w:color="auto" w:fill="auto"/>
          </w:tcPr>
          <w:p>
            <w:pPr>
              <w:spacing w:after="0"/>
              <w:jc w:val="center"/>
              <w:rPr>
                <w:sz w:val="22"/>
              </w:rPr>
            </w:pPr>
            <w:r>
              <w:rPr>
                <w:sz w:val="22"/>
              </w:rPr>
              <w:t>15</w:t>
            </w:r>
          </w:p>
        </w:tc>
        <w:tc>
          <w:tcPr>
            <w:tcW w:w="1666" w:type="dxa"/>
            <w:shd w:val="clear" w:color="auto" w:fill="auto"/>
          </w:tcPr>
          <w:p>
            <w:pPr>
              <w:spacing w:after="0"/>
              <w:jc w:val="center"/>
              <w:rPr>
                <w:sz w:val="22"/>
              </w:rPr>
            </w:pPr>
            <w:r>
              <w:rPr>
                <w:sz w:val="22"/>
              </w:rPr>
              <w:t>80</w:t>
            </w:r>
          </w:p>
        </w:tc>
        <w:tc>
          <w:tcPr>
            <w:tcW w:w="795" w:type="dxa"/>
            <w:shd w:val="clear" w:color="auto" w:fill="auto"/>
          </w:tcPr>
          <w:p>
            <w:pPr>
              <w:spacing w:after="0"/>
              <w:jc w:val="center"/>
              <w:rPr>
                <w:sz w:val="22"/>
              </w:rPr>
            </w:pPr>
            <w:r>
              <w:rPr>
                <w:sz w:val="22"/>
              </w:rPr>
              <w:t>12</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10645" w:type="dxa"/>
            <w:shd w:val="clear" w:color="auto" w:fill="auto"/>
          </w:tcPr>
          <w:p>
            <w:pPr>
              <w:spacing w:after="0"/>
              <w:ind w:left="360" w:hanging="360"/>
              <w:rPr>
                <w:sz w:val="22"/>
              </w:rPr>
            </w:pPr>
            <w:r>
              <w:rPr>
                <w:sz w:val="22"/>
                <w:lang w:val="id-ID"/>
              </w:rPr>
              <w:t>3</w:t>
            </w:r>
            <w:r>
              <w:rPr>
                <w:sz w:val="22"/>
              </w:rPr>
              <w:t>.    Kondisi demografis Jawa Barat (penduduk yang banyak)</w:t>
            </w:r>
          </w:p>
        </w:tc>
        <w:tc>
          <w:tcPr>
            <w:tcW w:w="843" w:type="dxa"/>
            <w:shd w:val="clear" w:color="auto" w:fill="auto"/>
          </w:tcPr>
          <w:p>
            <w:pPr>
              <w:spacing w:after="0"/>
              <w:jc w:val="center"/>
              <w:rPr>
                <w:sz w:val="22"/>
              </w:rPr>
            </w:pPr>
            <w:r>
              <w:rPr>
                <w:sz w:val="22"/>
              </w:rPr>
              <w:t>5</w:t>
            </w:r>
          </w:p>
        </w:tc>
        <w:tc>
          <w:tcPr>
            <w:tcW w:w="1666" w:type="dxa"/>
            <w:shd w:val="clear" w:color="auto" w:fill="auto"/>
          </w:tcPr>
          <w:p>
            <w:pPr>
              <w:spacing w:after="0"/>
              <w:jc w:val="center"/>
              <w:rPr>
                <w:sz w:val="22"/>
              </w:rPr>
            </w:pPr>
            <w:r>
              <w:rPr>
                <w:sz w:val="22"/>
              </w:rPr>
              <w:t>80</w:t>
            </w:r>
          </w:p>
        </w:tc>
        <w:tc>
          <w:tcPr>
            <w:tcW w:w="795" w:type="dxa"/>
            <w:shd w:val="clear" w:color="auto" w:fill="auto"/>
          </w:tcPr>
          <w:p>
            <w:pPr>
              <w:spacing w:after="0"/>
              <w:jc w:val="center"/>
              <w:rPr>
                <w:sz w:val="22"/>
              </w:rPr>
            </w:pPr>
            <w:r>
              <w:rPr>
                <w:sz w:val="22"/>
              </w:rPr>
              <w:t>4</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247" w:hRule="atLeast"/>
        </w:trPr>
        <w:tc>
          <w:tcPr>
            <w:tcW w:w="10645" w:type="dxa"/>
            <w:shd w:val="clear" w:color="auto" w:fill="auto"/>
          </w:tcPr>
          <w:p>
            <w:pPr>
              <w:spacing w:after="0"/>
              <w:ind w:left="360" w:hanging="360"/>
              <w:rPr>
                <w:sz w:val="22"/>
              </w:rPr>
            </w:pPr>
            <w:r>
              <w:rPr>
                <w:sz w:val="22"/>
                <w:lang w:val="id-ID"/>
              </w:rPr>
              <w:t>4</w:t>
            </w:r>
            <w:r>
              <w:rPr>
                <w:sz w:val="22"/>
              </w:rPr>
              <w:t>.    Dukungan regulasi: UU Dikdok, kewajiban publikasi, sistem remunerasi, sistem kontrak kinerja SKP</w:t>
            </w:r>
          </w:p>
        </w:tc>
        <w:tc>
          <w:tcPr>
            <w:tcW w:w="843" w:type="dxa"/>
            <w:shd w:val="clear" w:color="auto" w:fill="auto"/>
          </w:tcPr>
          <w:p>
            <w:pPr>
              <w:spacing w:after="0"/>
              <w:jc w:val="center"/>
              <w:rPr>
                <w:sz w:val="22"/>
              </w:rPr>
            </w:pPr>
            <w:r>
              <w:rPr>
                <w:sz w:val="22"/>
              </w:rPr>
              <w:t>5</w:t>
            </w:r>
          </w:p>
        </w:tc>
        <w:tc>
          <w:tcPr>
            <w:tcW w:w="1666" w:type="dxa"/>
            <w:shd w:val="clear" w:color="auto" w:fill="auto"/>
          </w:tcPr>
          <w:p>
            <w:pPr>
              <w:spacing w:after="0"/>
              <w:jc w:val="center"/>
              <w:rPr>
                <w:sz w:val="22"/>
              </w:rPr>
            </w:pPr>
            <w:r>
              <w:rPr>
                <w:sz w:val="22"/>
              </w:rPr>
              <w:t>60</w:t>
            </w:r>
          </w:p>
        </w:tc>
        <w:tc>
          <w:tcPr>
            <w:tcW w:w="795" w:type="dxa"/>
            <w:shd w:val="clear" w:color="auto" w:fill="auto"/>
          </w:tcPr>
          <w:p>
            <w:pPr>
              <w:spacing w:after="0"/>
              <w:jc w:val="center"/>
              <w:rPr>
                <w:sz w:val="22"/>
              </w:rPr>
            </w:pPr>
            <w:r>
              <w:rPr>
                <w:sz w:val="22"/>
              </w:rPr>
              <w:t>3</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10645" w:type="dxa"/>
            <w:shd w:val="clear" w:color="auto" w:fill="auto"/>
          </w:tcPr>
          <w:p>
            <w:pPr>
              <w:spacing w:after="0"/>
              <w:ind w:left="360" w:hanging="360"/>
              <w:rPr>
                <w:sz w:val="22"/>
              </w:rPr>
            </w:pPr>
            <w:r>
              <w:rPr>
                <w:sz w:val="22"/>
                <w:lang w:val="id-ID"/>
              </w:rPr>
              <w:t>5</w:t>
            </w:r>
            <w:r>
              <w:rPr>
                <w:sz w:val="22"/>
              </w:rPr>
              <w:t>.    Dukungan Pemda Kab/Kota dan Pemprov Jawa Barat</w:t>
            </w:r>
          </w:p>
        </w:tc>
        <w:tc>
          <w:tcPr>
            <w:tcW w:w="843" w:type="dxa"/>
            <w:shd w:val="clear" w:color="auto" w:fill="auto"/>
          </w:tcPr>
          <w:p>
            <w:pPr>
              <w:spacing w:after="0"/>
              <w:jc w:val="center"/>
              <w:rPr>
                <w:sz w:val="22"/>
              </w:rPr>
            </w:pPr>
            <w:r>
              <w:rPr>
                <w:sz w:val="22"/>
              </w:rPr>
              <w:t>5</w:t>
            </w:r>
          </w:p>
        </w:tc>
        <w:tc>
          <w:tcPr>
            <w:tcW w:w="1666" w:type="dxa"/>
            <w:shd w:val="clear" w:color="auto" w:fill="auto"/>
          </w:tcPr>
          <w:p>
            <w:pPr>
              <w:spacing w:after="0"/>
              <w:jc w:val="center"/>
              <w:rPr>
                <w:sz w:val="22"/>
              </w:rPr>
            </w:pPr>
            <w:r>
              <w:rPr>
                <w:sz w:val="22"/>
              </w:rPr>
              <w:t>75</w:t>
            </w:r>
          </w:p>
        </w:tc>
        <w:tc>
          <w:tcPr>
            <w:tcW w:w="795" w:type="dxa"/>
            <w:shd w:val="clear" w:color="auto" w:fill="auto"/>
          </w:tcPr>
          <w:p>
            <w:pPr>
              <w:spacing w:after="0"/>
              <w:jc w:val="center"/>
              <w:rPr>
                <w:sz w:val="22"/>
              </w:rPr>
            </w:pPr>
            <w:r>
              <w:rPr>
                <w:sz w:val="22"/>
              </w:rPr>
              <w:t>3.75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47" w:hRule="atLeast"/>
        </w:trPr>
        <w:tc>
          <w:tcPr>
            <w:tcW w:w="10645" w:type="dxa"/>
            <w:shd w:val="clear" w:color="auto" w:fill="auto"/>
          </w:tcPr>
          <w:p>
            <w:pPr>
              <w:spacing w:after="0"/>
              <w:ind w:left="360" w:hanging="360"/>
              <w:rPr>
                <w:sz w:val="22"/>
              </w:rPr>
            </w:pPr>
            <w:r>
              <w:rPr>
                <w:sz w:val="22"/>
                <w:lang w:val="id-ID"/>
              </w:rPr>
              <w:t>6</w:t>
            </w:r>
            <w:r>
              <w:rPr>
                <w:sz w:val="22"/>
              </w:rPr>
              <w:t>.    Dukungan sebagai RS Rujukan Nasional</w:t>
            </w:r>
          </w:p>
        </w:tc>
        <w:tc>
          <w:tcPr>
            <w:tcW w:w="843" w:type="dxa"/>
            <w:shd w:val="clear" w:color="auto" w:fill="auto"/>
          </w:tcPr>
          <w:p>
            <w:pPr>
              <w:spacing w:after="0"/>
              <w:jc w:val="center"/>
              <w:rPr>
                <w:sz w:val="22"/>
              </w:rPr>
            </w:pPr>
            <w:r>
              <w:rPr>
                <w:sz w:val="22"/>
              </w:rPr>
              <w:t>20</w:t>
            </w:r>
          </w:p>
        </w:tc>
        <w:tc>
          <w:tcPr>
            <w:tcW w:w="1666" w:type="dxa"/>
            <w:shd w:val="clear" w:color="auto" w:fill="auto"/>
          </w:tcPr>
          <w:p>
            <w:pPr>
              <w:spacing w:after="0"/>
              <w:jc w:val="center"/>
              <w:rPr>
                <w:sz w:val="22"/>
              </w:rPr>
            </w:pPr>
            <w:r>
              <w:rPr>
                <w:sz w:val="22"/>
              </w:rPr>
              <w:t>80</w:t>
            </w:r>
          </w:p>
        </w:tc>
        <w:tc>
          <w:tcPr>
            <w:tcW w:w="795" w:type="dxa"/>
            <w:shd w:val="clear" w:color="auto" w:fill="auto"/>
          </w:tcPr>
          <w:p>
            <w:pPr>
              <w:spacing w:after="0"/>
              <w:jc w:val="center"/>
              <w:rPr>
                <w:sz w:val="22"/>
              </w:rPr>
            </w:pPr>
            <w:r>
              <w:rPr>
                <w:sz w:val="22"/>
              </w:rPr>
              <w:t>16</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10645" w:type="dxa"/>
            <w:shd w:val="clear" w:color="auto" w:fill="auto"/>
          </w:tcPr>
          <w:p>
            <w:pPr>
              <w:spacing w:after="0"/>
              <w:ind w:left="360" w:hanging="360"/>
              <w:rPr>
                <w:sz w:val="22"/>
              </w:rPr>
            </w:pPr>
            <w:r>
              <w:rPr>
                <w:sz w:val="22"/>
                <w:lang w:val="id-ID"/>
              </w:rPr>
              <w:t>7</w:t>
            </w:r>
            <w:r>
              <w:rPr>
                <w:sz w:val="22"/>
              </w:rPr>
              <w:t>.    Perkembangan teknologi kesehatan</w:t>
            </w:r>
          </w:p>
        </w:tc>
        <w:tc>
          <w:tcPr>
            <w:tcW w:w="843" w:type="dxa"/>
            <w:shd w:val="clear" w:color="auto" w:fill="auto"/>
          </w:tcPr>
          <w:p>
            <w:pPr>
              <w:spacing w:after="0"/>
              <w:jc w:val="center"/>
              <w:rPr>
                <w:sz w:val="22"/>
              </w:rPr>
            </w:pPr>
            <w:r>
              <w:rPr>
                <w:sz w:val="22"/>
              </w:rPr>
              <w:t>10</w:t>
            </w:r>
          </w:p>
        </w:tc>
        <w:tc>
          <w:tcPr>
            <w:tcW w:w="1666" w:type="dxa"/>
            <w:shd w:val="clear" w:color="auto" w:fill="auto"/>
          </w:tcPr>
          <w:p>
            <w:pPr>
              <w:spacing w:after="0"/>
              <w:jc w:val="center"/>
              <w:rPr>
                <w:sz w:val="22"/>
              </w:rPr>
            </w:pPr>
            <w:r>
              <w:rPr>
                <w:sz w:val="22"/>
              </w:rPr>
              <w:t>60</w:t>
            </w:r>
          </w:p>
        </w:tc>
        <w:tc>
          <w:tcPr>
            <w:tcW w:w="795" w:type="dxa"/>
            <w:shd w:val="clear" w:color="auto" w:fill="auto"/>
          </w:tcPr>
          <w:p>
            <w:pPr>
              <w:spacing w:after="0"/>
              <w:jc w:val="center"/>
              <w:rPr>
                <w:sz w:val="22"/>
              </w:rPr>
            </w:pPr>
            <w:r>
              <w:rPr>
                <w:sz w:val="22"/>
              </w:rPr>
              <w:t>6</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10645" w:type="dxa"/>
            <w:shd w:val="clear" w:color="auto" w:fill="auto"/>
          </w:tcPr>
          <w:p>
            <w:pPr>
              <w:spacing w:after="0"/>
              <w:ind w:left="360" w:hanging="360"/>
              <w:rPr>
                <w:sz w:val="22"/>
              </w:rPr>
            </w:pPr>
            <w:r>
              <w:rPr>
                <w:sz w:val="22"/>
                <w:lang w:val="id-ID"/>
              </w:rPr>
              <w:t>8</w:t>
            </w:r>
            <w:r>
              <w:rPr>
                <w:sz w:val="22"/>
                <w:lang w:val="fi-FI"/>
              </w:rPr>
              <w:t>.    Peningkatan kesadaran masyarakat terhadap kesehatan</w:t>
            </w:r>
          </w:p>
        </w:tc>
        <w:tc>
          <w:tcPr>
            <w:tcW w:w="843" w:type="dxa"/>
            <w:shd w:val="clear" w:color="auto" w:fill="auto"/>
          </w:tcPr>
          <w:p>
            <w:pPr>
              <w:spacing w:after="0"/>
              <w:jc w:val="center"/>
              <w:rPr>
                <w:sz w:val="22"/>
              </w:rPr>
            </w:pPr>
            <w:r>
              <w:rPr>
                <w:sz w:val="22"/>
              </w:rPr>
              <w:t>5</w:t>
            </w:r>
          </w:p>
        </w:tc>
        <w:tc>
          <w:tcPr>
            <w:tcW w:w="1666" w:type="dxa"/>
            <w:shd w:val="clear" w:color="auto" w:fill="auto"/>
          </w:tcPr>
          <w:p>
            <w:pPr>
              <w:spacing w:after="0"/>
              <w:jc w:val="center"/>
              <w:rPr>
                <w:sz w:val="22"/>
              </w:rPr>
            </w:pPr>
            <w:r>
              <w:rPr>
                <w:sz w:val="22"/>
              </w:rPr>
              <w:t>50</w:t>
            </w:r>
          </w:p>
        </w:tc>
        <w:tc>
          <w:tcPr>
            <w:tcW w:w="795" w:type="dxa"/>
            <w:shd w:val="clear" w:color="auto" w:fill="auto"/>
          </w:tcPr>
          <w:p>
            <w:pPr>
              <w:spacing w:after="0"/>
              <w:jc w:val="center"/>
              <w:rPr>
                <w:sz w:val="22"/>
              </w:rPr>
            </w:pPr>
            <w:r>
              <w:rPr>
                <w:sz w:val="22"/>
              </w:rPr>
              <w:t>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10645" w:type="dxa"/>
            <w:shd w:val="clear" w:color="auto" w:fill="auto"/>
          </w:tcPr>
          <w:p>
            <w:pPr>
              <w:spacing w:after="0"/>
              <w:jc w:val="center"/>
              <w:rPr>
                <w:b/>
                <w:sz w:val="22"/>
              </w:rPr>
            </w:pPr>
            <w:r>
              <w:rPr>
                <w:b/>
                <w:sz w:val="22"/>
              </w:rPr>
              <w:t>Total</w:t>
            </w:r>
          </w:p>
        </w:tc>
        <w:tc>
          <w:tcPr>
            <w:tcW w:w="843" w:type="dxa"/>
            <w:shd w:val="clear" w:color="auto" w:fill="auto"/>
          </w:tcPr>
          <w:p>
            <w:pPr>
              <w:spacing w:after="0"/>
              <w:jc w:val="center"/>
              <w:rPr>
                <w:b/>
                <w:sz w:val="22"/>
              </w:rPr>
            </w:pPr>
            <w:r>
              <w:rPr>
                <w:b/>
                <w:sz w:val="22"/>
              </w:rPr>
              <w:t>100</w:t>
            </w:r>
          </w:p>
        </w:tc>
        <w:tc>
          <w:tcPr>
            <w:tcW w:w="1666" w:type="dxa"/>
            <w:shd w:val="clear" w:color="auto" w:fill="auto"/>
          </w:tcPr>
          <w:p>
            <w:pPr>
              <w:spacing w:after="0"/>
              <w:jc w:val="center"/>
              <w:rPr>
                <w:b/>
                <w:sz w:val="22"/>
              </w:rPr>
            </w:pPr>
          </w:p>
        </w:tc>
        <w:tc>
          <w:tcPr>
            <w:tcW w:w="795" w:type="dxa"/>
            <w:shd w:val="clear" w:color="auto" w:fill="auto"/>
          </w:tcPr>
          <w:p>
            <w:pPr>
              <w:spacing w:after="0"/>
              <w:jc w:val="center"/>
              <w:rPr>
                <w:b/>
                <w:sz w:val="22"/>
              </w:rPr>
            </w:pPr>
            <w:r>
              <w:rPr>
                <w:b/>
                <w:sz w:val="22"/>
                <w:lang w:val="id-ID"/>
              </w:rPr>
              <w:t>66</w:t>
            </w:r>
            <w:r>
              <w:rPr>
                <w:b/>
                <w:sz w:val="22"/>
              </w:rPr>
              <w:t>.25</w:t>
            </w:r>
          </w:p>
        </w:tc>
      </w:tr>
    </w:tbl>
    <w:p>
      <w:pPr>
        <w:spacing w:after="0" w:line="240" w:lineRule="auto"/>
        <w:rPr>
          <w:b/>
          <w:bCs/>
          <w:szCs w:val="18"/>
        </w:rPr>
      </w:pPr>
      <w:bookmarkStart w:id="41" w:name="_Toc426658402"/>
    </w:p>
    <w:p>
      <w:pPr>
        <w:pStyle w:val="9"/>
        <w:rPr>
          <w:szCs w:val="24"/>
          <w:lang w:val="id-ID"/>
        </w:rPr>
      </w:pPr>
      <w:bookmarkStart w:id="42" w:name="_Toc430523101"/>
      <w:r>
        <w:t xml:space="preserve">Tabel 4. </w:t>
      </w:r>
      <w:r>
        <w:fldChar w:fldCharType="begin"/>
      </w:r>
      <w:r>
        <w:instrText xml:space="preserve"> SEQ Tabel_4. \* ARABIC </w:instrText>
      </w:r>
      <w:r>
        <w:fldChar w:fldCharType="separate"/>
      </w:r>
      <w:r>
        <w:t>4</w:t>
      </w:r>
      <w:r>
        <w:fldChar w:fldCharType="end"/>
      </w:r>
      <w:r>
        <w:t xml:space="preserve"> </w:t>
      </w:r>
      <w:r>
        <w:rPr>
          <w:szCs w:val="24"/>
        </w:rPr>
        <w:t>Ancaman (</w:t>
      </w:r>
      <w:r>
        <w:rPr>
          <w:i/>
          <w:szCs w:val="24"/>
        </w:rPr>
        <w:t>Threat</w:t>
      </w:r>
      <w:r>
        <w:rPr>
          <w:szCs w:val="24"/>
        </w:rPr>
        <w:t>)</w:t>
      </w:r>
      <w:bookmarkEnd w:id="41"/>
      <w:r>
        <w:rPr>
          <w:szCs w:val="24"/>
          <w:lang w:val="id-ID"/>
        </w:rPr>
        <w:t xml:space="preserve"> RSHS</w:t>
      </w:r>
      <w:bookmarkEnd w:id="42"/>
    </w:p>
    <w:tbl>
      <w:tblPr>
        <w:tblStyle w:val="26"/>
        <w:tblW w:w="13949" w:type="dxa"/>
        <w:tblInd w:w="0" w:type="dxa"/>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
      <w:tblGrid>
        <w:gridCol w:w="9047"/>
        <w:gridCol w:w="1414"/>
        <w:gridCol w:w="2168"/>
        <w:gridCol w:w="1320"/>
      </w:tblGrid>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75" w:hRule="atLeast"/>
        </w:trPr>
        <w:tc>
          <w:tcPr>
            <w:tcW w:w="9047" w:type="dxa"/>
            <w:shd w:val="clear" w:color="auto" w:fill="EBCC6E"/>
          </w:tcPr>
          <w:p>
            <w:pPr>
              <w:spacing w:after="0"/>
              <w:rPr>
                <w:sz w:val="22"/>
              </w:rPr>
            </w:pPr>
            <w:r>
              <w:rPr>
                <w:sz w:val="22"/>
              </w:rPr>
              <w:t>Ancaman(</w:t>
            </w:r>
            <w:r>
              <w:rPr>
                <w:i/>
                <w:sz w:val="22"/>
              </w:rPr>
              <w:t>Threat</w:t>
            </w:r>
            <w:r>
              <w:rPr>
                <w:sz w:val="22"/>
              </w:rPr>
              <w:t>)</w:t>
            </w:r>
          </w:p>
        </w:tc>
        <w:tc>
          <w:tcPr>
            <w:tcW w:w="1414" w:type="dxa"/>
            <w:shd w:val="clear" w:color="auto" w:fill="EBCC6E"/>
          </w:tcPr>
          <w:p>
            <w:pPr>
              <w:spacing w:after="0"/>
              <w:jc w:val="center"/>
              <w:rPr>
                <w:sz w:val="22"/>
              </w:rPr>
            </w:pPr>
            <w:r>
              <w:rPr>
                <w:sz w:val="22"/>
              </w:rPr>
              <w:t>Bobot</w:t>
            </w:r>
          </w:p>
        </w:tc>
        <w:tc>
          <w:tcPr>
            <w:tcW w:w="2168" w:type="dxa"/>
            <w:shd w:val="clear" w:color="auto" w:fill="EBCC6E"/>
          </w:tcPr>
          <w:p>
            <w:pPr>
              <w:spacing w:after="0"/>
              <w:jc w:val="center"/>
              <w:rPr>
                <w:sz w:val="22"/>
              </w:rPr>
            </w:pPr>
            <w:r>
              <w:rPr>
                <w:sz w:val="22"/>
              </w:rPr>
              <w:t>Rating (1-100)</w:t>
            </w:r>
          </w:p>
        </w:tc>
        <w:tc>
          <w:tcPr>
            <w:tcW w:w="1320" w:type="dxa"/>
            <w:shd w:val="clear" w:color="auto" w:fill="EBCC6E"/>
          </w:tcPr>
          <w:p>
            <w:pPr>
              <w:spacing w:after="0"/>
              <w:jc w:val="center"/>
              <w:rPr>
                <w:sz w:val="22"/>
              </w:rPr>
            </w:pPr>
            <w:r>
              <w:rPr>
                <w:sz w:val="22"/>
              </w:rPr>
              <w:t>Nilai</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9047" w:type="dxa"/>
            <w:shd w:val="clear" w:color="auto" w:fill="auto"/>
          </w:tcPr>
          <w:p>
            <w:pPr>
              <w:tabs>
                <w:tab w:val="left" w:pos="360"/>
              </w:tabs>
              <w:spacing w:after="0"/>
              <w:ind w:left="360" w:hanging="360"/>
              <w:rPr>
                <w:sz w:val="22"/>
              </w:rPr>
            </w:pPr>
            <w:r>
              <w:rPr>
                <w:sz w:val="22"/>
                <w:lang w:val="fi-FI"/>
              </w:rPr>
              <w:t>1.   Diberlakukannya MEA (Masyarakat Ekonomi Asean)</w:t>
            </w:r>
          </w:p>
        </w:tc>
        <w:tc>
          <w:tcPr>
            <w:tcW w:w="1414" w:type="dxa"/>
            <w:shd w:val="clear" w:color="auto" w:fill="auto"/>
          </w:tcPr>
          <w:p>
            <w:pPr>
              <w:spacing w:after="0"/>
              <w:jc w:val="center"/>
              <w:rPr>
                <w:sz w:val="22"/>
              </w:rPr>
            </w:pPr>
            <w:r>
              <w:rPr>
                <w:sz w:val="22"/>
              </w:rPr>
              <w:t>5</w:t>
            </w:r>
          </w:p>
        </w:tc>
        <w:tc>
          <w:tcPr>
            <w:tcW w:w="2168" w:type="dxa"/>
            <w:shd w:val="clear" w:color="auto" w:fill="auto"/>
          </w:tcPr>
          <w:p>
            <w:pPr>
              <w:spacing w:after="0"/>
              <w:jc w:val="center"/>
              <w:rPr>
                <w:sz w:val="22"/>
              </w:rPr>
            </w:pPr>
            <w:r>
              <w:rPr>
                <w:sz w:val="22"/>
              </w:rPr>
              <w:t>-50</w:t>
            </w:r>
          </w:p>
        </w:tc>
        <w:tc>
          <w:tcPr>
            <w:tcW w:w="1320" w:type="dxa"/>
            <w:shd w:val="clear" w:color="auto" w:fill="auto"/>
          </w:tcPr>
          <w:p>
            <w:pPr>
              <w:spacing w:after="0"/>
              <w:jc w:val="center"/>
              <w:rPr>
                <w:sz w:val="22"/>
              </w:rPr>
            </w:pPr>
            <w:r>
              <w:rPr>
                <w:sz w:val="22"/>
              </w:rPr>
              <w:t>-2.5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436" w:hRule="atLeast"/>
        </w:trPr>
        <w:tc>
          <w:tcPr>
            <w:tcW w:w="9047" w:type="dxa"/>
            <w:shd w:val="clear" w:color="auto" w:fill="auto"/>
          </w:tcPr>
          <w:p>
            <w:pPr>
              <w:tabs>
                <w:tab w:val="left" w:pos="360"/>
              </w:tabs>
              <w:spacing w:after="0"/>
              <w:ind w:left="360" w:hanging="360"/>
              <w:rPr>
                <w:sz w:val="22"/>
              </w:rPr>
            </w:pPr>
            <w:r>
              <w:rPr>
                <w:sz w:val="22"/>
              </w:rPr>
              <w:t xml:space="preserve">2.   Keberadaan jaringan institusi lain sebagai </w:t>
            </w:r>
            <w:r>
              <w:rPr>
                <w:sz w:val="22"/>
                <w:lang w:val="id-ID"/>
              </w:rPr>
              <w:t>kompetitor</w:t>
            </w:r>
            <w:r>
              <w:rPr>
                <w:sz w:val="22"/>
              </w:rPr>
              <w:t xml:space="preserve"> yang memberikan daya </w:t>
            </w:r>
            <w:r>
              <w:rPr>
                <w:sz w:val="22"/>
                <w:lang w:val="id-ID"/>
              </w:rPr>
              <w:t>saing</w:t>
            </w:r>
            <w:r>
              <w:rPr>
                <w:sz w:val="22"/>
              </w:rPr>
              <w:t xml:space="preserve"> yang lebih bagi pasien dan calon staf</w:t>
            </w:r>
          </w:p>
        </w:tc>
        <w:tc>
          <w:tcPr>
            <w:tcW w:w="1414" w:type="dxa"/>
            <w:shd w:val="clear" w:color="auto" w:fill="auto"/>
          </w:tcPr>
          <w:p>
            <w:pPr>
              <w:spacing w:after="0"/>
              <w:jc w:val="center"/>
              <w:rPr>
                <w:sz w:val="22"/>
              </w:rPr>
            </w:pPr>
            <w:r>
              <w:rPr>
                <w:sz w:val="22"/>
              </w:rPr>
              <w:t>15</w:t>
            </w:r>
          </w:p>
        </w:tc>
        <w:tc>
          <w:tcPr>
            <w:tcW w:w="2168" w:type="dxa"/>
            <w:shd w:val="clear" w:color="auto" w:fill="auto"/>
          </w:tcPr>
          <w:p>
            <w:pPr>
              <w:spacing w:after="0"/>
              <w:jc w:val="center"/>
              <w:rPr>
                <w:sz w:val="22"/>
              </w:rPr>
            </w:pPr>
            <w:r>
              <w:rPr>
                <w:sz w:val="22"/>
              </w:rPr>
              <w:t>-50</w:t>
            </w:r>
          </w:p>
        </w:tc>
        <w:tc>
          <w:tcPr>
            <w:tcW w:w="1320" w:type="dxa"/>
            <w:shd w:val="clear" w:color="auto" w:fill="auto"/>
          </w:tcPr>
          <w:p>
            <w:pPr>
              <w:spacing w:after="0"/>
              <w:jc w:val="center"/>
              <w:rPr>
                <w:sz w:val="22"/>
              </w:rPr>
            </w:pPr>
            <w:r>
              <w:rPr>
                <w:sz w:val="22"/>
              </w:rPr>
              <w:t>-7.5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75" w:hRule="atLeast"/>
        </w:trPr>
        <w:tc>
          <w:tcPr>
            <w:tcW w:w="9047" w:type="dxa"/>
            <w:shd w:val="clear" w:color="auto" w:fill="auto"/>
          </w:tcPr>
          <w:p>
            <w:pPr>
              <w:tabs>
                <w:tab w:val="left" w:pos="360"/>
              </w:tabs>
              <w:spacing w:after="0"/>
              <w:ind w:left="360" w:hanging="360"/>
              <w:rPr>
                <w:sz w:val="22"/>
              </w:rPr>
            </w:pPr>
            <w:r>
              <w:rPr>
                <w:sz w:val="22"/>
                <w:lang w:val="sv-SE"/>
              </w:rPr>
              <w:t>3.   Ketidakpastian dukungan dana pemerintah</w:t>
            </w:r>
          </w:p>
        </w:tc>
        <w:tc>
          <w:tcPr>
            <w:tcW w:w="1414" w:type="dxa"/>
            <w:shd w:val="clear" w:color="auto" w:fill="auto"/>
          </w:tcPr>
          <w:p>
            <w:pPr>
              <w:spacing w:after="0"/>
              <w:jc w:val="center"/>
              <w:rPr>
                <w:sz w:val="22"/>
              </w:rPr>
            </w:pPr>
            <w:r>
              <w:rPr>
                <w:sz w:val="22"/>
              </w:rPr>
              <w:t>20</w:t>
            </w:r>
          </w:p>
        </w:tc>
        <w:tc>
          <w:tcPr>
            <w:tcW w:w="2168" w:type="dxa"/>
            <w:shd w:val="clear" w:color="auto" w:fill="auto"/>
          </w:tcPr>
          <w:p>
            <w:pPr>
              <w:spacing w:after="0"/>
              <w:jc w:val="center"/>
              <w:rPr>
                <w:sz w:val="22"/>
              </w:rPr>
            </w:pPr>
            <w:r>
              <w:rPr>
                <w:sz w:val="22"/>
              </w:rPr>
              <w:t>-80</w:t>
            </w:r>
          </w:p>
        </w:tc>
        <w:tc>
          <w:tcPr>
            <w:tcW w:w="1320" w:type="dxa"/>
            <w:shd w:val="clear" w:color="auto" w:fill="auto"/>
          </w:tcPr>
          <w:p>
            <w:pPr>
              <w:spacing w:after="0"/>
              <w:jc w:val="center"/>
              <w:rPr>
                <w:sz w:val="22"/>
              </w:rPr>
            </w:pPr>
            <w:r>
              <w:rPr>
                <w:sz w:val="22"/>
              </w:rPr>
              <w:t>-16</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267" w:hRule="atLeast"/>
        </w:trPr>
        <w:tc>
          <w:tcPr>
            <w:tcW w:w="9047" w:type="dxa"/>
            <w:shd w:val="clear" w:color="auto" w:fill="auto"/>
          </w:tcPr>
          <w:p>
            <w:pPr>
              <w:tabs>
                <w:tab w:val="left" w:pos="360"/>
              </w:tabs>
              <w:spacing w:after="0"/>
              <w:ind w:left="360" w:hanging="360"/>
              <w:rPr>
                <w:sz w:val="22"/>
              </w:rPr>
            </w:pPr>
            <w:r>
              <w:rPr>
                <w:sz w:val="22"/>
              </w:rPr>
              <w:t xml:space="preserve">4.   Semakin terbukanya informasi dan meningkatnya kesadaran </w:t>
            </w:r>
            <w:r>
              <w:rPr>
                <w:sz w:val="22"/>
                <w:lang w:val="id-ID"/>
              </w:rPr>
              <w:t>hukum</w:t>
            </w:r>
            <w:r>
              <w:rPr>
                <w:sz w:val="22"/>
              </w:rPr>
              <w:t xml:space="preserve"> pasien </w:t>
            </w:r>
          </w:p>
        </w:tc>
        <w:tc>
          <w:tcPr>
            <w:tcW w:w="1414" w:type="dxa"/>
            <w:shd w:val="clear" w:color="auto" w:fill="auto"/>
          </w:tcPr>
          <w:p>
            <w:pPr>
              <w:spacing w:after="0"/>
              <w:jc w:val="center"/>
              <w:rPr>
                <w:sz w:val="22"/>
              </w:rPr>
            </w:pPr>
            <w:r>
              <w:rPr>
                <w:sz w:val="22"/>
              </w:rPr>
              <w:t>15</w:t>
            </w:r>
          </w:p>
        </w:tc>
        <w:tc>
          <w:tcPr>
            <w:tcW w:w="2168" w:type="dxa"/>
            <w:shd w:val="clear" w:color="auto" w:fill="auto"/>
          </w:tcPr>
          <w:p>
            <w:pPr>
              <w:spacing w:after="0"/>
              <w:jc w:val="center"/>
              <w:rPr>
                <w:sz w:val="22"/>
              </w:rPr>
            </w:pPr>
            <w:r>
              <w:rPr>
                <w:sz w:val="22"/>
              </w:rPr>
              <w:t>-50</w:t>
            </w:r>
          </w:p>
        </w:tc>
        <w:tc>
          <w:tcPr>
            <w:tcW w:w="1320" w:type="dxa"/>
            <w:shd w:val="clear" w:color="auto" w:fill="auto"/>
          </w:tcPr>
          <w:p>
            <w:pPr>
              <w:spacing w:after="0"/>
              <w:jc w:val="center"/>
              <w:rPr>
                <w:sz w:val="22"/>
              </w:rPr>
            </w:pPr>
            <w:r>
              <w:rPr>
                <w:sz w:val="22"/>
              </w:rPr>
              <w:t>-7.5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119" w:hRule="atLeast"/>
        </w:trPr>
        <w:tc>
          <w:tcPr>
            <w:tcW w:w="9047" w:type="dxa"/>
            <w:shd w:val="clear" w:color="auto" w:fill="auto"/>
          </w:tcPr>
          <w:p>
            <w:pPr>
              <w:tabs>
                <w:tab w:val="left" w:pos="360"/>
              </w:tabs>
              <w:spacing w:after="0"/>
              <w:ind w:left="360" w:hanging="360"/>
              <w:rPr>
                <w:sz w:val="22"/>
              </w:rPr>
            </w:pPr>
            <w:r>
              <w:rPr>
                <w:sz w:val="22"/>
                <w:lang w:val="sv-SE"/>
              </w:rPr>
              <w:t>5.   Ketergantungan kepada suplier (obat dan alat kesehatan)</w:t>
            </w:r>
          </w:p>
        </w:tc>
        <w:tc>
          <w:tcPr>
            <w:tcW w:w="1414" w:type="dxa"/>
            <w:shd w:val="clear" w:color="auto" w:fill="auto"/>
          </w:tcPr>
          <w:p>
            <w:pPr>
              <w:spacing w:after="0"/>
              <w:jc w:val="center"/>
              <w:rPr>
                <w:sz w:val="22"/>
              </w:rPr>
            </w:pPr>
            <w:r>
              <w:rPr>
                <w:sz w:val="22"/>
              </w:rPr>
              <w:t>20</w:t>
            </w:r>
          </w:p>
        </w:tc>
        <w:tc>
          <w:tcPr>
            <w:tcW w:w="2168" w:type="dxa"/>
            <w:shd w:val="clear" w:color="auto" w:fill="auto"/>
          </w:tcPr>
          <w:p>
            <w:pPr>
              <w:spacing w:after="0"/>
              <w:jc w:val="center"/>
              <w:rPr>
                <w:sz w:val="22"/>
              </w:rPr>
            </w:pPr>
            <w:r>
              <w:rPr>
                <w:sz w:val="22"/>
              </w:rPr>
              <w:t>-70</w:t>
            </w:r>
          </w:p>
        </w:tc>
        <w:tc>
          <w:tcPr>
            <w:tcW w:w="1320" w:type="dxa"/>
            <w:shd w:val="clear" w:color="auto" w:fill="auto"/>
          </w:tcPr>
          <w:p>
            <w:pPr>
              <w:spacing w:after="0"/>
              <w:jc w:val="center"/>
              <w:rPr>
                <w:sz w:val="22"/>
              </w:rPr>
            </w:pPr>
            <w:r>
              <w:rPr>
                <w:sz w:val="22"/>
              </w:rPr>
              <w:t>-14</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047" w:type="dxa"/>
            <w:shd w:val="clear" w:color="auto" w:fill="auto"/>
          </w:tcPr>
          <w:p>
            <w:pPr>
              <w:tabs>
                <w:tab w:val="left" w:pos="360"/>
              </w:tabs>
              <w:spacing w:after="0"/>
              <w:ind w:left="360" w:hanging="360"/>
              <w:rPr>
                <w:sz w:val="22"/>
              </w:rPr>
            </w:pPr>
            <w:r>
              <w:rPr>
                <w:sz w:val="22"/>
                <w:lang w:val="es-ES"/>
              </w:rPr>
              <w:t>6.   Perubahan regulasi dan kompleksitas regulator</w:t>
            </w:r>
          </w:p>
        </w:tc>
        <w:tc>
          <w:tcPr>
            <w:tcW w:w="1414" w:type="dxa"/>
            <w:shd w:val="clear" w:color="auto" w:fill="auto"/>
          </w:tcPr>
          <w:p>
            <w:pPr>
              <w:spacing w:after="0"/>
              <w:jc w:val="center"/>
              <w:rPr>
                <w:sz w:val="22"/>
              </w:rPr>
            </w:pPr>
            <w:r>
              <w:rPr>
                <w:sz w:val="22"/>
              </w:rPr>
              <w:t>20</w:t>
            </w:r>
          </w:p>
        </w:tc>
        <w:tc>
          <w:tcPr>
            <w:tcW w:w="2168" w:type="dxa"/>
            <w:shd w:val="clear" w:color="auto" w:fill="auto"/>
          </w:tcPr>
          <w:p>
            <w:pPr>
              <w:spacing w:after="0"/>
              <w:jc w:val="center"/>
              <w:rPr>
                <w:sz w:val="22"/>
              </w:rPr>
            </w:pPr>
            <w:r>
              <w:rPr>
                <w:sz w:val="22"/>
              </w:rPr>
              <w:t>-70</w:t>
            </w:r>
          </w:p>
        </w:tc>
        <w:tc>
          <w:tcPr>
            <w:tcW w:w="1320" w:type="dxa"/>
            <w:shd w:val="clear" w:color="auto" w:fill="auto"/>
          </w:tcPr>
          <w:p>
            <w:pPr>
              <w:spacing w:after="0"/>
              <w:jc w:val="center"/>
              <w:rPr>
                <w:sz w:val="22"/>
              </w:rPr>
            </w:pPr>
            <w:r>
              <w:rPr>
                <w:sz w:val="22"/>
              </w:rPr>
              <w:t>-14</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75" w:hRule="atLeast"/>
        </w:trPr>
        <w:tc>
          <w:tcPr>
            <w:tcW w:w="9047" w:type="dxa"/>
            <w:shd w:val="clear" w:color="auto" w:fill="auto"/>
          </w:tcPr>
          <w:p>
            <w:pPr>
              <w:tabs>
                <w:tab w:val="left" w:pos="360"/>
              </w:tabs>
              <w:spacing w:after="0"/>
              <w:ind w:left="360" w:hanging="360"/>
              <w:rPr>
                <w:sz w:val="22"/>
              </w:rPr>
            </w:pPr>
            <w:r>
              <w:rPr>
                <w:sz w:val="22"/>
                <w:lang w:val="sv-SE"/>
              </w:rPr>
              <w:t>7.   Ketidakstabilan nilai tukar rupiah</w:t>
            </w:r>
          </w:p>
        </w:tc>
        <w:tc>
          <w:tcPr>
            <w:tcW w:w="1414" w:type="dxa"/>
            <w:shd w:val="clear" w:color="auto" w:fill="auto"/>
          </w:tcPr>
          <w:p>
            <w:pPr>
              <w:spacing w:after="0"/>
              <w:jc w:val="center"/>
              <w:rPr>
                <w:sz w:val="22"/>
              </w:rPr>
            </w:pPr>
            <w:r>
              <w:rPr>
                <w:sz w:val="22"/>
              </w:rPr>
              <w:t>5</w:t>
            </w:r>
          </w:p>
        </w:tc>
        <w:tc>
          <w:tcPr>
            <w:tcW w:w="2168" w:type="dxa"/>
            <w:shd w:val="clear" w:color="auto" w:fill="auto"/>
          </w:tcPr>
          <w:p>
            <w:pPr>
              <w:spacing w:after="0"/>
              <w:jc w:val="center"/>
              <w:rPr>
                <w:sz w:val="22"/>
              </w:rPr>
            </w:pPr>
            <w:r>
              <w:rPr>
                <w:sz w:val="22"/>
              </w:rPr>
              <w:t>-40</w:t>
            </w:r>
          </w:p>
        </w:tc>
        <w:tc>
          <w:tcPr>
            <w:tcW w:w="1320" w:type="dxa"/>
            <w:shd w:val="clear" w:color="auto" w:fill="auto"/>
          </w:tcPr>
          <w:p>
            <w:pPr>
              <w:spacing w:after="0"/>
              <w:jc w:val="center"/>
              <w:rPr>
                <w:sz w:val="22"/>
              </w:rPr>
            </w:pPr>
            <w:r>
              <w:rPr>
                <w:sz w:val="22"/>
              </w:rPr>
              <w:t>-2</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047" w:type="dxa"/>
            <w:shd w:val="clear" w:color="auto" w:fill="auto"/>
          </w:tcPr>
          <w:p>
            <w:pPr>
              <w:spacing w:after="0"/>
              <w:jc w:val="center"/>
              <w:rPr>
                <w:b/>
                <w:sz w:val="22"/>
              </w:rPr>
            </w:pPr>
            <w:r>
              <w:rPr>
                <w:b/>
                <w:sz w:val="22"/>
              </w:rPr>
              <w:t>Total</w:t>
            </w:r>
          </w:p>
        </w:tc>
        <w:tc>
          <w:tcPr>
            <w:tcW w:w="1414" w:type="dxa"/>
            <w:shd w:val="clear" w:color="auto" w:fill="auto"/>
          </w:tcPr>
          <w:p>
            <w:pPr>
              <w:spacing w:after="0"/>
              <w:jc w:val="center"/>
              <w:rPr>
                <w:b/>
                <w:sz w:val="22"/>
              </w:rPr>
            </w:pPr>
            <w:r>
              <w:rPr>
                <w:b/>
                <w:sz w:val="22"/>
              </w:rPr>
              <w:t>100</w:t>
            </w:r>
          </w:p>
        </w:tc>
        <w:tc>
          <w:tcPr>
            <w:tcW w:w="2168" w:type="dxa"/>
            <w:shd w:val="clear" w:color="auto" w:fill="auto"/>
          </w:tcPr>
          <w:p>
            <w:pPr>
              <w:spacing w:after="0"/>
              <w:jc w:val="center"/>
              <w:rPr>
                <w:b/>
                <w:sz w:val="22"/>
              </w:rPr>
            </w:pPr>
          </w:p>
        </w:tc>
        <w:tc>
          <w:tcPr>
            <w:tcW w:w="1320" w:type="dxa"/>
            <w:shd w:val="clear" w:color="auto" w:fill="auto"/>
          </w:tcPr>
          <w:p>
            <w:pPr>
              <w:spacing w:after="0"/>
              <w:jc w:val="center"/>
              <w:rPr>
                <w:b/>
                <w:sz w:val="22"/>
              </w:rPr>
            </w:pPr>
            <w:r>
              <w:rPr>
                <w:b/>
                <w:sz w:val="22"/>
              </w:rPr>
              <w:t>-63.5</w:t>
            </w:r>
          </w:p>
        </w:tc>
      </w:tr>
    </w:tbl>
    <w:p>
      <w:pPr>
        <w:pStyle w:val="9"/>
      </w:pPr>
      <w:bookmarkStart w:id="43" w:name="_Toc426658403"/>
    </w:p>
    <w:p>
      <w:pPr>
        <w:pStyle w:val="9"/>
        <w:rPr>
          <w:szCs w:val="24"/>
          <w:lang w:val="id-ID"/>
        </w:rPr>
      </w:pPr>
      <w:bookmarkStart w:id="44" w:name="_Toc430523102"/>
      <w:r>
        <w:t xml:space="preserve">Tabel 4. </w:t>
      </w:r>
      <w:r>
        <w:fldChar w:fldCharType="begin"/>
      </w:r>
      <w:r>
        <w:instrText xml:space="preserve"> SEQ Tabel_4. \* ARABIC </w:instrText>
      </w:r>
      <w:r>
        <w:fldChar w:fldCharType="separate"/>
      </w:r>
      <w:r>
        <w:t>5</w:t>
      </w:r>
      <w:r>
        <w:fldChar w:fldCharType="end"/>
      </w:r>
      <w:r>
        <w:rPr>
          <w:szCs w:val="24"/>
        </w:rPr>
        <w:t xml:space="preserve"> Kekuatan (</w:t>
      </w:r>
      <w:r>
        <w:rPr>
          <w:i/>
          <w:szCs w:val="24"/>
        </w:rPr>
        <w:t>Strength</w:t>
      </w:r>
      <w:r>
        <w:rPr>
          <w:szCs w:val="24"/>
        </w:rPr>
        <w:t>)</w:t>
      </w:r>
      <w:bookmarkEnd w:id="43"/>
      <w:r>
        <w:rPr>
          <w:szCs w:val="24"/>
          <w:lang w:val="id-ID"/>
        </w:rPr>
        <w:t xml:space="preserve"> RSHS</w:t>
      </w:r>
      <w:bookmarkEnd w:id="44"/>
    </w:p>
    <w:tbl>
      <w:tblPr>
        <w:tblStyle w:val="26"/>
        <w:tblW w:w="13949" w:type="dxa"/>
        <w:tblInd w:w="0" w:type="dxa"/>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
      <w:tblGrid>
        <w:gridCol w:w="9104"/>
        <w:gridCol w:w="1322"/>
        <w:gridCol w:w="2201"/>
        <w:gridCol w:w="1322"/>
      </w:tblGrid>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EBCC6E"/>
          </w:tcPr>
          <w:p>
            <w:pPr>
              <w:spacing w:after="0"/>
              <w:rPr>
                <w:sz w:val="22"/>
              </w:rPr>
            </w:pPr>
            <w:r>
              <w:rPr>
                <w:sz w:val="22"/>
              </w:rPr>
              <w:t>Kekuatan(</w:t>
            </w:r>
            <w:r>
              <w:rPr>
                <w:i/>
                <w:sz w:val="22"/>
              </w:rPr>
              <w:t>Strength</w:t>
            </w:r>
            <w:r>
              <w:rPr>
                <w:sz w:val="22"/>
              </w:rPr>
              <w:t>)</w:t>
            </w:r>
          </w:p>
        </w:tc>
        <w:tc>
          <w:tcPr>
            <w:tcW w:w="1322" w:type="dxa"/>
            <w:shd w:val="clear" w:color="auto" w:fill="EBCC6E"/>
          </w:tcPr>
          <w:p>
            <w:pPr>
              <w:spacing w:after="0"/>
              <w:jc w:val="center"/>
              <w:rPr>
                <w:sz w:val="22"/>
              </w:rPr>
            </w:pPr>
            <w:r>
              <w:rPr>
                <w:sz w:val="22"/>
              </w:rPr>
              <w:t>Bobot</w:t>
            </w:r>
          </w:p>
        </w:tc>
        <w:tc>
          <w:tcPr>
            <w:tcW w:w="2201" w:type="dxa"/>
            <w:shd w:val="clear" w:color="auto" w:fill="EBCC6E"/>
          </w:tcPr>
          <w:p>
            <w:pPr>
              <w:spacing w:after="0"/>
              <w:jc w:val="center"/>
              <w:rPr>
                <w:sz w:val="22"/>
              </w:rPr>
            </w:pPr>
            <w:r>
              <w:rPr>
                <w:sz w:val="22"/>
              </w:rPr>
              <w:t>Rating (1-100)</w:t>
            </w:r>
          </w:p>
        </w:tc>
        <w:tc>
          <w:tcPr>
            <w:tcW w:w="1322" w:type="dxa"/>
            <w:shd w:val="clear" w:color="auto" w:fill="EBCC6E"/>
          </w:tcPr>
          <w:p>
            <w:pPr>
              <w:spacing w:after="0"/>
              <w:jc w:val="center"/>
              <w:rPr>
                <w:sz w:val="22"/>
              </w:rPr>
            </w:pPr>
            <w:r>
              <w:rPr>
                <w:sz w:val="22"/>
              </w:rPr>
              <w:t>Nilai</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1.    Sudah memiliki 133 layanan sub-spesialistik</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60</w:t>
            </w:r>
          </w:p>
        </w:tc>
        <w:tc>
          <w:tcPr>
            <w:tcW w:w="1322" w:type="dxa"/>
            <w:shd w:val="clear" w:color="auto" w:fill="auto"/>
          </w:tcPr>
          <w:p>
            <w:pPr>
              <w:spacing w:after="0"/>
              <w:jc w:val="center"/>
              <w:rPr>
                <w:sz w:val="22"/>
              </w:rPr>
            </w:pPr>
            <w:r>
              <w:rPr>
                <w:sz w:val="22"/>
              </w:rPr>
              <w:t>9</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2.    Ragam kasus yang tinggi (untuk pendidikan dan penelitian)</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80</w:t>
            </w:r>
          </w:p>
        </w:tc>
        <w:tc>
          <w:tcPr>
            <w:tcW w:w="1322" w:type="dxa"/>
            <w:shd w:val="clear" w:color="auto" w:fill="auto"/>
          </w:tcPr>
          <w:p>
            <w:pPr>
              <w:spacing w:after="0"/>
              <w:jc w:val="center"/>
              <w:rPr>
                <w:sz w:val="22"/>
              </w:rPr>
            </w:pPr>
            <w:r>
              <w:rPr>
                <w:sz w:val="22"/>
              </w:rPr>
              <w:t>12</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3.    SDM dokter 325 tenaga subspesialistik</w:t>
            </w:r>
          </w:p>
        </w:tc>
        <w:tc>
          <w:tcPr>
            <w:tcW w:w="1322" w:type="dxa"/>
            <w:shd w:val="clear" w:color="auto" w:fill="auto"/>
          </w:tcPr>
          <w:p>
            <w:pPr>
              <w:spacing w:after="0"/>
              <w:jc w:val="center"/>
              <w:rPr>
                <w:sz w:val="22"/>
              </w:rPr>
            </w:pPr>
            <w:r>
              <w:rPr>
                <w:sz w:val="22"/>
              </w:rPr>
              <w:t>20</w:t>
            </w:r>
          </w:p>
        </w:tc>
        <w:tc>
          <w:tcPr>
            <w:tcW w:w="2201" w:type="dxa"/>
            <w:shd w:val="clear" w:color="auto" w:fill="auto"/>
          </w:tcPr>
          <w:p>
            <w:pPr>
              <w:spacing w:after="0"/>
              <w:jc w:val="center"/>
              <w:rPr>
                <w:sz w:val="22"/>
              </w:rPr>
            </w:pPr>
            <w:r>
              <w:rPr>
                <w:sz w:val="22"/>
              </w:rPr>
              <w:t>60</w:t>
            </w:r>
          </w:p>
        </w:tc>
        <w:tc>
          <w:tcPr>
            <w:tcW w:w="1322" w:type="dxa"/>
            <w:shd w:val="clear" w:color="auto" w:fill="auto"/>
          </w:tcPr>
          <w:p>
            <w:pPr>
              <w:spacing w:after="0"/>
              <w:jc w:val="center"/>
              <w:rPr>
                <w:sz w:val="22"/>
              </w:rPr>
            </w:pPr>
            <w:r>
              <w:rPr>
                <w:sz w:val="22"/>
              </w:rPr>
              <w:t>12</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4.    Jumlah PPDS 1300 orang</w:t>
            </w:r>
          </w:p>
        </w:tc>
        <w:tc>
          <w:tcPr>
            <w:tcW w:w="1322" w:type="dxa"/>
            <w:shd w:val="clear" w:color="auto" w:fill="auto"/>
          </w:tcPr>
          <w:p>
            <w:pPr>
              <w:spacing w:after="0"/>
              <w:jc w:val="center"/>
              <w:rPr>
                <w:sz w:val="22"/>
              </w:rPr>
            </w:pPr>
            <w:r>
              <w:rPr>
                <w:sz w:val="22"/>
              </w:rPr>
              <w:t>5</w:t>
            </w:r>
          </w:p>
        </w:tc>
        <w:tc>
          <w:tcPr>
            <w:tcW w:w="2201" w:type="dxa"/>
            <w:shd w:val="clear" w:color="auto" w:fill="auto"/>
          </w:tcPr>
          <w:p>
            <w:pPr>
              <w:spacing w:after="0"/>
              <w:jc w:val="center"/>
              <w:rPr>
                <w:sz w:val="22"/>
              </w:rPr>
            </w:pPr>
            <w:r>
              <w:rPr>
                <w:sz w:val="22"/>
              </w:rPr>
              <w:t>70</w:t>
            </w:r>
          </w:p>
        </w:tc>
        <w:tc>
          <w:tcPr>
            <w:tcW w:w="1322" w:type="dxa"/>
            <w:shd w:val="clear" w:color="auto" w:fill="auto"/>
          </w:tcPr>
          <w:p>
            <w:pPr>
              <w:spacing w:after="0"/>
              <w:jc w:val="center"/>
              <w:rPr>
                <w:sz w:val="22"/>
              </w:rPr>
            </w:pPr>
            <w:r>
              <w:rPr>
                <w:sz w:val="22"/>
              </w:rPr>
              <w:t>3.5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5.    Sudah memiliki layanan unggulan dalam kedokteran nuklir</w:t>
            </w:r>
          </w:p>
        </w:tc>
        <w:tc>
          <w:tcPr>
            <w:tcW w:w="1322" w:type="dxa"/>
            <w:shd w:val="clear" w:color="auto" w:fill="auto"/>
          </w:tcPr>
          <w:p>
            <w:pPr>
              <w:spacing w:after="0"/>
              <w:jc w:val="center"/>
              <w:rPr>
                <w:sz w:val="22"/>
              </w:rPr>
            </w:pPr>
            <w:r>
              <w:rPr>
                <w:sz w:val="22"/>
              </w:rPr>
              <w:t>20</w:t>
            </w:r>
          </w:p>
        </w:tc>
        <w:tc>
          <w:tcPr>
            <w:tcW w:w="2201" w:type="dxa"/>
            <w:shd w:val="clear" w:color="auto" w:fill="auto"/>
          </w:tcPr>
          <w:p>
            <w:pPr>
              <w:spacing w:after="0"/>
              <w:jc w:val="center"/>
              <w:rPr>
                <w:sz w:val="22"/>
              </w:rPr>
            </w:pPr>
            <w:r>
              <w:rPr>
                <w:sz w:val="22"/>
              </w:rPr>
              <w:t>30</w:t>
            </w:r>
          </w:p>
        </w:tc>
        <w:tc>
          <w:tcPr>
            <w:tcW w:w="1322" w:type="dxa"/>
            <w:shd w:val="clear" w:color="auto" w:fill="auto"/>
          </w:tcPr>
          <w:p>
            <w:pPr>
              <w:spacing w:after="0"/>
              <w:jc w:val="center"/>
              <w:rPr>
                <w:sz w:val="22"/>
              </w:rPr>
            </w:pPr>
            <w:r>
              <w:rPr>
                <w:sz w:val="22"/>
              </w:rPr>
              <w:t>6</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rPr>
                <w:sz w:val="22"/>
              </w:rPr>
            </w:pPr>
            <w:r>
              <w:rPr>
                <w:sz w:val="22"/>
              </w:rPr>
              <w:t>6.    Sudah memiliki jaringan kemitraan (</w:t>
            </w:r>
            <w:r>
              <w:rPr>
                <w:i/>
                <w:sz w:val="22"/>
              </w:rPr>
              <w:t>network hospital</w:t>
            </w:r>
            <w:r>
              <w:rPr>
                <w:sz w:val="22"/>
              </w:rPr>
              <w:t>, dll)</w:t>
            </w:r>
          </w:p>
        </w:tc>
        <w:tc>
          <w:tcPr>
            <w:tcW w:w="1322" w:type="dxa"/>
            <w:shd w:val="clear" w:color="auto" w:fill="auto"/>
          </w:tcPr>
          <w:p>
            <w:pPr>
              <w:spacing w:after="0"/>
              <w:jc w:val="center"/>
              <w:rPr>
                <w:sz w:val="22"/>
              </w:rPr>
            </w:pPr>
            <w:r>
              <w:rPr>
                <w:sz w:val="22"/>
              </w:rPr>
              <w:t>20</w:t>
            </w:r>
          </w:p>
        </w:tc>
        <w:tc>
          <w:tcPr>
            <w:tcW w:w="2201" w:type="dxa"/>
            <w:shd w:val="clear" w:color="auto" w:fill="auto"/>
          </w:tcPr>
          <w:p>
            <w:pPr>
              <w:spacing w:after="0"/>
              <w:jc w:val="center"/>
              <w:rPr>
                <w:sz w:val="22"/>
              </w:rPr>
            </w:pPr>
            <w:r>
              <w:rPr>
                <w:sz w:val="22"/>
              </w:rPr>
              <w:t>70</w:t>
            </w:r>
          </w:p>
        </w:tc>
        <w:tc>
          <w:tcPr>
            <w:tcW w:w="1322" w:type="dxa"/>
            <w:shd w:val="clear" w:color="auto" w:fill="auto"/>
          </w:tcPr>
          <w:p>
            <w:pPr>
              <w:spacing w:after="0"/>
              <w:jc w:val="center"/>
              <w:rPr>
                <w:sz w:val="22"/>
              </w:rPr>
            </w:pPr>
            <w:r>
              <w:rPr>
                <w:sz w:val="22"/>
              </w:rPr>
              <w:t>14</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jc w:val="center"/>
              <w:rPr>
                <w:b/>
                <w:sz w:val="22"/>
              </w:rPr>
            </w:pPr>
            <w:r>
              <w:rPr>
                <w:b/>
                <w:sz w:val="22"/>
              </w:rPr>
              <w:t>Total</w:t>
            </w:r>
          </w:p>
        </w:tc>
        <w:tc>
          <w:tcPr>
            <w:tcW w:w="1322" w:type="dxa"/>
            <w:shd w:val="clear" w:color="auto" w:fill="auto"/>
          </w:tcPr>
          <w:p>
            <w:pPr>
              <w:spacing w:after="0"/>
              <w:jc w:val="center"/>
              <w:rPr>
                <w:b/>
                <w:sz w:val="22"/>
              </w:rPr>
            </w:pPr>
            <w:r>
              <w:rPr>
                <w:b/>
                <w:sz w:val="22"/>
              </w:rPr>
              <w:t>100</w:t>
            </w:r>
          </w:p>
        </w:tc>
        <w:tc>
          <w:tcPr>
            <w:tcW w:w="2201" w:type="dxa"/>
            <w:shd w:val="clear" w:color="auto" w:fill="auto"/>
          </w:tcPr>
          <w:p>
            <w:pPr>
              <w:spacing w:after="0"/>
              <w:jc w:val="center"/>
              <w:rPr>
                <w:b/>
                <w:sz w:val="22"/>
              </w:rPr>
            </w:pPr>
          </w:p>
        </w:tc>
        <w:tc>
          <w:tcPr>
            <w:tcW w:w="1322" w:type="dxa"/>
            <w:shd w:val="clear" w:color="auto" w:fill="auto"/>
          </w:tcPr>
          <w:p>
            <w:pPr>
              <w:spacing w:after="0"/>
              <w:jc w:val="center"/>
              <w:rPr>
                <w:b/>
                <w:sz w:val="22"/>
              </w:rPr>
            </w:pPr>
            <w:r>
              <w:rPr>
                <w:b/>
                <w:sz w:val="22"/>
                <w:lang w:val="id-ID"/>
              </w:rPr>
              <w:t>56</w:t>
            </w:r>
            <w:r>
              <w:rPr>
                <w:b/>
                <w:sz w:val="22"/>
              </w:rPr>
              <w:t>.5</w:t>
            </w:r>
          </w:p>
        </w:tc>
      </w:tr>
    </w:tbl>
    <w:p/>
    <w:p>
      <w:pPr>
        <w:pStyle w:val="9"/>
        <w:rPr>
          <w:szCs w:val="24"/>
          <w:lang w:val="id-ID"/>
        </w:rPr>
      </w:pPr>
      <w:bookmarkStart w:id="45" w:name="_Toc430523103"/>
      <w:r>
        <w:t xml:space="preserve">Tabel 4. </w:t>
      </w:r>
      <w:r>
        <w:fldChar w:fldCharType="begin"/>
      </w:r>
      <w:r>
        <w:instrText xml:space="preserve"> SEQ Tabel_4. \* ARABIC </w:instrText>
      </w:r>
      <w:r>
        <w:fldChar w:fldCharType="separate"/>
      </w:r>
      <w:r>
        <w:t>6</w:t>
      </w:r>
      <w:r>
        <w:fldChar w:fldCharType="end"/>
      </w:r>
      <w:r>
        <w:t xml:space="preserve"> </w:t>
      </w:r>
      <w:r>
        <w:rPr>
          <w:szCs w:val="24"/>
        </w:rPr>
        <w:t>Kelemahan (</w:t>
      </w:r>
      <w:r>
        <w:rPr>
          <w:i/>
          <w:szCs w:val="24"/>
        </w:rPr>
        <w:t>Weakness</w:t>
      </w:r>
      <w:r>
        <w:rPr>
          <w:szCs w:val="24"/>
        </w:rPr>
        <w:t>)</w:t>
      </w:r>
      <w:r>
        <w:rPr>
          <w:szCs w:val="24"/>
          <w:lang w:val="id-ID"/>
        </w:rPr>
        <w:t xml:space="preserve"> RSHS</w:t>
      </w:r>
      <w:bookmarkEnd w:id="45"/>
    </w:p>
    <w:tbl>
      <w:tblPr>
        <w:tblStyle w:val="26"/>
        <w:tblW w:w="13949" w:type="dxa"/>
        <w:tblInd w:w="0" w:type="dxa"/>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
      <w:tblGrid>
        <w:gridCol w:w="9104"/>
        <w:gridCol w:w="1322"/>
        <w:gridCol w:w="2201"/>
        <w:gridCol w:w="1322"/>
      </w:tblGrid>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EBCC6E"/>
          </w:tcPr>
          <w:p>
            <w:pPr>
              <w:spacing w:after="0"/>
              <w:rPr>
                <w:sz w:val="22"/>
              </w:rPr>
            </w:pPr>
            <w:r>
              <w:rPr>
                <w:sz w:val="22"/>
              </w:rPr>
              <w:t>Kelemahan(</w:t>
            </w:r>
            <w:r>
              <w:rPr>
                <w:i/>
                <w:sz w:val="22"/>
              </w:rPr>
              <w:t>Weakness</w:t>
            </w:r>
            <w:r>
              <w:rPr>
                <w:sz w:val="22"/>
              </w:rPr>
              <w:t>)</w:t>
            </w:r>
          </w:p>
        </w:tc>
        <w:tc>
          <w:tcPr>
            <w:tcW w:w="1322" w:type="dxa"/>
            <w:shd w:val="clear" w:color="auto" w:fill="EBCC6E"/>
          </w:tcPr>
          <w:p>
            <w:pPr>
              <w:spacing w:after="0"/>
              <w:jc w:val="center"/>
              <w:rPr>
                <w:sz w:val="22"/>
              </w:rPr>
            </w:pPr>
            <w:r>
              <w:rPr>
                <w:sz w:val="22"/>
              </w:rPr>
              <w:t>Bobot</w:t>
            </w:r>
          </w:p>
        </w:tc>
        <w:tc>
          <w:tcPr>
            <w:tcW w:w="2201" w:type="dxa"/>
            <w:shd w:val="clear" w:color="auto" w:fill="EBCC6E"/>
          </w:tcPr>
          <w:p>
            <w:pPr>
              <w:spacing w:after="0"/>
              <w:jc w:val="center"/>
              <w:rPr>
                <w:sz w:val="22"/>
              </w:rPr>
            </w:pPr>
            <w:r>
              <w:rPr>
                <w:sz w:val="22"/>
              </w:rPr>
              <w:t>Rating (1-100)</w:t>
            </w:r>
          </w:p>
        </w:tc>
        <w:tc>
          <w:tcPr>
            <w:tcW w:w="1322" w:type="dxa"/>
            <w:shd w:val="clear" w:color="auto" w:fill="EBCC6E"/>
          </w:tcPr>
          <w:p>
            <w:pPr>
              <w:spacing w:after="0"/>
              <w:jc w:val="center"/>
              <w:rPr>
                <w:sz w:val="22"/>
              </w:rPr>
            </w:pPr>
            <w:r>
              <w:rPr>
                <w:sz w:val="22"/>
              </w:rPr>
              <w:t>Nilai</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1.   Masih rendahnya keandalan sarana dan prasarana</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-75</w:t>
            </w:r>
          </w:p>
        </w:tc>
        <w:tc>
          <w:tcPr>
            <w:tcW w:w="1322" w:type="dxa"/>
            <w:shd w:val="clear" w:color="auto" w:fill="auto"/>
          </w:tcPr>
          <w:p>
            <w:pPr>
              <w:spacing w:after="0"/>
              <w:jc w:val="center"/>
              <w:rPr>
                <w:sz w:val="22"/>
              </w:rPr>
            </w:pPr>
            <w:r>
              <w:rPr>
                <w:sz w:val="22"/>
              </w:rPr>
              <w:t>-11.25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2.   IT belum terintegrasi</w:t>
            </w:r>
          </w:p>
        </w:tc>
        <w:tc>
          <w:tcPr>
            <w:tcW w:w="1322" w:type="dxa"/>
            <w:shd w:val="clear" w:color="auto" w:fill="auto"/>
          </w:tcPr>
          <w:p>
            <w:pPr>
              <w:spacing w:after="0"/>
              <w:jc w:val="center"/>
              <w:rPr>
                <w:sz w:val="22"/>
              </w:rPr>
            </w:pPr>
            <w:r>
              <w:rPr>
                <w:sz w:val="22"/>
              </w:rPr>
              <w:t>10</w:t>
            </w:r>
          </w:p>
        </w:tc>
        <w:tc>
          <w:tcPr>
            <w:tcW w:w="2201" w:type="dxa"/>
            <w:shd w:val="clear" w:color="auto" w:fill="auto"/>
          </w:tcPr>
          <w:p>
            <w:pPr>
              <w:spacing w:after="0"/>
              <w:jc w:val="center"/>
              <w:rPr>
                <w:sz w:val="22"/>
              </w:rPr>
            </w:pPr>
            <w:r>
              <w:rPr>
                <w:sz w:val="22"/>
              </w:rPr>
              <w:t>-80</w:t>
            </w:r>
          </w:p>
        </w:tc>
        <w:tc>
          <w:tcPr>
            <w:tcW w:w="1322" w:type="dxa"/>
            <w:shd w:val="clear" w:color="auto" w:fill="auto"/>
          </w:tcPr>
          <w:p>
            <w:pPr>
              <w:spacing w:after="0"/>
              <w:jc w:val="center"/>
              <w:rPr>
                <w:sz w:val="22"/>
              </w:rPr>
            </w:pPr>
            <w:r>
              <w:rPr>
                <w:sz w:val="22"/>
              </w:rPr>
              <w:t>-8</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 xml:space="preserve">3.   Belum optimalnya sistem </w:t>
            </w:r>
            <w:r>
              <w:rPr>
                <w:i/>
                <w:sz w:val="22"/>
              </w:rPr>
              <w:t>reward &amp; consequence</w:t>
            </w:r>
          </w:p>
        </w:tc>
        <w:tc>
          <w:tcPr>
            <w:tcW w:w="1322" w:type="dxa"/>
            <w:shd w:val="clear" w:color="auto" w:fill="auto"/>
          </w:tcPr>
          <w:p>
            <w:pPr>
              <w:spacing w:after="0"/>
              <w:jc w:val="center"/>
              <w:rPr>
                <w:sz w:val="22"/>
              </w:rPr>
            </w:pPr>
            <w:r>
              <w:rPr>
                <w:sz w:val="22"/>
              </w:rPr>
              <w:t>5</w:t>
            </w:r>
          </w:p>
        </w:tc>
        <w:tc>
          <w:tcPr>
            <w:tcW w:w="2201" w:type="dxa"/>
            <w:shd w:val="clear" w:color="auto" w:fill="auto"/>
          </w:tcPr>
          <w:p>
            <w:pPr>
              <w:spacing w:after="0"/>
              <w:jc w:val="center"/>
              <w:rPr>
                <w:sz w:val="22"/>
              </w:rPr>
            </w:pPr>
            <w:r>
              <w:rPr>
                <w:sz w:val="22"/>
              </w:rPr>
              <w:t>-50</w:t>
            </w:r>
          </w:p>
        </w:tc>
        <w:tc>
          <w:tcPr>
            <w:tcW w:w="1322" w:type="dxa"/>
            <w:shd w:val="clear" w:color="auto" w:fill="auto"/>
          </w:tcPr>
          <w:p>
            <w:pPr>
              <w:spacing w:after="0"/>
              <w:jc w:val="center"/>
              <w:rPr>
                <w:sz w:val="22"/>
              </w:rPr>
            </w:pPr>
            <w:r>
              <w:rPr>
                <w:sz w:val="22"/>
              </w:rPr>
              <w:t>-2.5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4.   Belum optimalnya sistem jejaring pelayanan</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-25</w:t>
            </w:r>
          </w:p>
        </w:tc>
        <w:tc>
          <w:tcPr>
            <w:tcW w:w="1322" w:type="dxa"/>
            <w:shd w:val="clear" w:color="auto" w:fill="auto"/>
          </w:tcPr>
          <w:p>
            <w:pPr>
              <w:spacing w:after="0"/>
              <w:jc w:val="center"/>
              <w:rPr>
                <w:sz w:val="22"/>
              </w:rPr>
            </w:pPr>
            <w:r>
              <w:rPr>
                <w:sz w:val="22"/>
              </w:rPr>
              <w:t>-3.75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5.   Rasio perawat belum ideal</w:t>
            </w:r>
          </w:p>
        </w:tc>
        <w:tc>
          <w:tcPr>
            <w:tcW w:w="1322" w:type="dxa"/>
            <w:shd w:val="clear" w:color="auto" w:fill="auto"/>
          </w:tcPr>
          <w:p>
            <w:pPr>
              <w:spacing w:after="0"/>
              <w:jc w:val="center"/>
              <w:rPr>
                <w:sz w:val="22"/>
              </w:rPr>
            </w:pPr>
            <w:r>
              <w:rPr>
                <w:sz w:val="22"/>
              </w:rPr>
              <w:t>10</w:t>
            </w:r>
          </w:p>
        </w:tc>
        <w:tc>
          <w:tcPr>
            <w:tcW w:w="2201" w:type="dxa"/>
            <w:shd w:val="clear" w:color="auto" w:fill="auto"/>
          </w:tcPr>
          <w:p>
            <w:pPr>
              <w:spacing w:after="0"/>
              <w:jc w:val="center"/>
              <w:rPr>
                <w:sz w:val="22"/>
              </w:rPr>
            </w:pPr>
            <w:r>
              <w:rPr>
                <w:sz w:val="22"/>
              </w:rPr>
              <w:t>-50</w:t>
            </w:r>
          </w:p>
        </w:tc>
        <w:tc>
          <w:tcPr>
            <w:tcW w:w="1322" w:type="dxa"/>
            <w:shd w:val="clear" w:color="auto" w:fill="auto"/>
          </w:tcPr>
          <w:p>
            <w:pPr>
              <w:spacing w:after="0"/>
              <w:jc w:val="center"/>
              <w:rPr>
                <w:sz w:val="22"/>
              </w:rPr>
            </w:pPr>
            <w:r>
              <w:rPr>
                <w:sz w:val="22"/>
              </w:rPr>
              <w:t>-5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ind w:left="360" w:hanging="360"/>
              <w:rPr>
                <w:sz w:val="22"/>
              </w:rPr>
            </w:pPr>
            <w:r>
              <w:rPr>
                <w:sz w:val="22"/>
              </w:rPr>
              <w:t>6.   Belum optimalnya integrasi pelayanan, pendidikan dan penelitian (proses bisnis tersegmentasi)</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-75</w:t>
            </w:r>
          </w:p>
        </w:tc>
        <w:tc>
          <w:tcPr>
            <w:tcW w:w="1322" w:type="dxa"/>
            <w:shd w:val="clear" w:color="auto" w:fill="auto"/>
          </w:tcPr>
          <w:p>
            <w:pPr>
              <w:spacing w:after="0"/>
              <w:jc w:val="center"/>
              <w:rPr>
                <w:sz w:val="22"/>
              </w:rPr>
            </w:pPr>
            <w:r>
              <w:rPr>
                <w:sz w:val="22"/>
              </w:rPr>
              <w:t>-11.25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tabs>
                <w:tab w:val="left" w:pos="360"/>
              </w:tabs>
              <w:spacing w:after="0"/>
              <w:rPr>
                <w:sz w:val="22"/>
              </w:rPr>
            </w:pPr>
            <w:r>
              <w:rPr>
                <w:sz w:val="22"/>
              </w:rPr>
              <w:t>7.   Belum terbangunnya budaya kinerja, budaya kolaboratif dan budaya transformatif</w:t>
            </w:r>
          </w:p>
        </w:tc>
        <w:tc>
          <w:tcPr>
            <w:tcW w:w="1322" w:type="dxa"/>
            <w:shd w:val="clear" w:color="auto" w:fill="auto"/>
          </w:tcPr>
          <w:p>
            <w:pPr>
              <w:spacing w:after="0"/>
              <w:jc w:val="center"/>
              <w:rPr>
                <w:sz w:val="22"/>
              </w:rPr>
            </w:pPr>
            <w:r>
              <w:rPr>
                <w:sz w:val="22"/>
              </w:rPr>
              <w:t>15</w:t>
            </w:r>
          </w:p>
        </w:tc>
        <w:tc>
          <w:tcPr>
            <w:tcW w:w="2201" w:type="dxa"/>
            <w:shd w:val="clear" w:color="auto" w:fill="auto"/>
          </w:tcPr>
          <w:p>
            <w:pPr>
              <w:spacing w:after="0"/>
              <w:jc w:val="center"/>
              <w:rPr>
                <w:sz w:val="22"/>
              </w:rPr>
            </w:pPr>
            <w:r>
              <w:rPr>
                <w:sz w:val="22"/>
              </w:rPr>
              <w:t>-75</w:t>
            </w:r>
          </w:p>
        </w:tc>
        <w:tc>
          <w:tcPr>
            <w:tcW w:w="1322" w:type="dxa"/>
            <w:shd w:val="clear" w:color="auto" w:fill="auto"/>
          </w:tcPr>
          <w:p>
            <w:pPr>
              <w:spacing w:after="0"/>
              <w:jc w:val="center"/>
              <w:rPr>
                <w:sz w:val="22"/>
              </w:rPr>
            </w:pPr>
            <w:r>
              <w:rPr>
                <w:sz w:val="22"/>
              </w:rPr>
              <w:t>-11.25</w:t>
            </w:r>
          </w:p>
        </w:tc>
      </w:tr>
      <w:tr>
        <w:tblPrEx>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CellMar>
            <w:top w:w="0" w:type="dxa"/>
            <w:left w:w="108" w:type="dxa"/>
            <w:bottom w:w="0" w:type="dxa"/>
            <w:right w:w="108" w:type="dxa"/>
          </w:tblCellMar>
        </w:tblPrEx>
        <w:trPr>
          <w:trHeight w:val="338" w:hRule="atLeast"/>
        </w:trPr>
        <w:tc>
          <w:tcPr>
            <w:tcW w:w="9104" w:type="dxa"/>
            <w:shd w:val="clear" w:color="auto" w:fill="auto"/>
          </w:tcPr>
          <w:p>
            <w:pPr>
              <w:spacing w:after="0"/>
              <w:jc w:val="center"/>
              <w:rPr>
                <w:b/>
                <w:sz w:val="22"/>
              </w:rPr>
            </w:pPr>
            <w:r>
              <w:rPr>
                <w:b/>
                <w:sz w:val="22"/>
              </w:rPr>
              <w:t>Total</w:t>
            </w:r>
          </w:p>
        </w:tc>
        <w:tc>
          <w:tcPr>
            <w:tcW w:w="1322" w:type="dxa"/>
            <w:shd w:val="clear" w:color="auto" w:fill="auto"/>
          </w:tcPr>
          <w:p>
            <w:pPr>
              <w:spacing w:after="0"/>
              <w:jc w:val="center"/>
              <w:rPr>
                <w:b/>
                <w:sz w:val="22"/>
              </w:rPr>
            </w:pPr>
            <w:r>
              <w:rPr>
                <w:b/>
                <w:sz w:val="22"/>
              </w:rPr>
              <w:t>100</w:t>
            </w:r>
          </w:p>
        </w:tc>
        <w:tc>
          <w:tcPr>
            <w:tcW w:w="2201" w:type="dxa"/>
            <w:shd w:val="clear" w:color="auto" w:fill="auto"/>
          </w:tcPr>
          <w:p>
            <w:pPr>
              <w:spacing w:after="0"/>
              <w:jc w:val="center"/>
              <w:rPr>
                <w:b/>
                <w:sz w:val="22"/>
              </w:rPr>
            </w:pPr>
          </w:p>
        </w:tc>
        <w:tc>
          <w:tcPr>
            <w:tcW w:w="1322" w:type="dxa"/>
            <w:shd w:val="clear" w:color="auto" w:fill="auto"/>
          </w:tcPr>
          <w:p>
            <w:pPr>
              <w:spacing w:after="0"/>
              <w:jc w:val="center"/>
              <w:rPr>
                <w:b/>
                <w:sz w:val="22"/>
                <w:lang w:val="id-ID"/>
              </w:rPr>
            </w:pPr>
            <w:r>
              <w:rPr>
                <w:b/>
                <w:sz w:val="22"/>
              </w:rPr>
              <w:t>-</w:t>
            </w:r>
            <w:r>
              <w:rPr>
                <w:b/>
                <w:sz w:val="22"/>
                <w:lang w:val="id-ID"/>
              </w:rPr>
              <w:t>53</w:t>
            </w:r>
          </w:p>
        </w:tc>
      </w:tr>
    </w:tbl>
    <w:p>
      <w:pPr>
        <w:spacing w:line="360" w:lineRule="auto"/>
        <w:jc w:val="both"/>
        <w:rPr>
          <w:szCs w:val="24"/>
        </w:rPr>
        <w:sectPr>
          <w:type w:val="continuous"/>
          <w:pgSz w:w="16839" w:h="11907" w:orient="landscape"/>
          <w:pgMar w:top="1440" w:right="1440" w:bottom="1440" w:left="1440" w:header="720" w:footer="60" w:gutter="0"/>
          <w:cols w:space="720" w:num="1"/>
          <w:docGrid w:linePitch="360" w:charSpace="0"/>
        </w:sectPr>
      </w:pPr>
    </w:p>
    <w:p>
      <w:pPr>
        <w:spacing w:line="360" w:lineRule="auto"/>
        <w:ind w:firstLine="709"/>
        <w:jc w:val="both"/>
      </w:pPr>
      <w:r>
        <w:rPr>
          <w:szCs w:val="24"/>
        </w:rPr>
        <w:t>Berdasarkan hasil perhitungan pada tabel 4.</w:t>
      </w:r>
      <w:r>
        <w:rPr>
          <w:szCs w:val="24"/>
          <w:lang w:val="id-ID"/>
        </w:rPr>
        <w:t>3</w:t>
      </w:r>
      <w:r>
        <w:rPr>
          <w:szCs w:val="24"/>
        </w:rPr>
        <w:t xml:space="preserve"> hingga 4.</w:t>
      </w:r>
      <w:r>
        <w:rPr>
          <w:szCs w:val="24"/>
          <w:lang w:val="id-ID"/>
        </w:rPr>
        <w:t>6</w:t>
      </w:r>
      <w:r>
        <w:rPr>
          <w:szCs w:val="24"/>
        </w:rPr>
        <w:t>, posisi bersaing RSHS untuk periode tahun 2015-2019 berada di kuadran II pada diagram kartesius (lihat gambar 4.1).  Posisi yang ada memperlihatkan bahwa dari internal, RSHS</w:t>
      </w:r>
      <w:r>
        <w:rPr>
          <w:szCs w:val="24"/>
          <w:lang w:val="id-ID"/>
        </w:rPr>
        <w:t xml:space="preserve"> </w:t>
      </w:r>
      <w:r>
        <w:rPr>
          <w:szCs w:val="24"/>
        </w:rPr>
        <w:t>memiliki kelemahan yang lebih besar dibandingkan kekuatannya. Meskipun demikian, terdapat peluang yang lebih besar dibandingkan ancaman dari eksternal. Untuk itu, stratergi yang sebaiknya dipilih adalah memanfaatkan peluang untuk memperbaiki mutu kelembagaan institusi.</w:t>
      </w:r>
    </w:p>
    <w:p>
      <w:pPr>
        <w:pStyle w:val="9"/>
        <w:rPr>
          <w:rFonts w:eastAsia="Calibri" w:cs="Arial"/>
          <w:szCs w:val="22"/>
          <w:lang w:val="sv-SE"/>
        </w:rPr>
      </w:pPr>
      <w:bookmarkStart w:id="46" w:name="_Toc430523229"/>
      <w:r>
        <w:rPr>
          <w:szCs w:val="24"/>
          <w:lang w:val="id-ID" w:eastAsia="id-ID"/>
        </w:rPr>
        <mc:AlternateContent>
          <mc:Choice Requires="wpc">
            <w:drawing>
              <wp:anchor distT="0" distB="0" distL="114300" distR="114300" simplePos="0" relativeHeight="251671552" behindDoc="0" locked="0" layoutInCell="1" allowOverlap="1">
                <wp:simplePos x="0" y="0"/>
                <wp:positionH relativeFrom="margin">
                  <wp:posOffset>1712595</wp:posOffset>
                </wp:positionH>
                <wp:positionV relativeFrom="paragraph">
                  <wp:posOffset>43180</wp:posOffset>
                </wp:positionV>
                <wp:extent cx="5381625" cy="3964305"/>
                <wp:effectExtent l="0" t="0" r="9525" b="17145"/>
                <wp:wrapTopAndBottom/>
                <wp:docPr id="292" name="Canvas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Rectangle 5"/>
                        <wps:cNvSpPr>
                          <a:spLocks noChangeArrowheads="1"/>
                        </wps:cNvSpPr>
                        <wps:spPr bwMode="auto">
                          <a:xfrm>
                            <a:off x="3140300" y="1931475"/>
                            <a:ext cx="116205" cy="287655"/>
                          </a:xfrm>
                          <a:prstGeom prst="rect">
                            <a:avLst/>
                          </a:prstGeom>
                          <a:noFill/>
                          <a:ln>
                            <a:noFill/>
                          </a:ln>
                        </wps:spPr>
                        <wps:txbx>
                          <w:txbxContent>
                            <w:p>
                              <w:r>
                                <w:rPr>
                                  <w:rFonts w:cs="Calibri"/>
                                  <w:b/>
                                  <w:bCs/>
                                  <w:color w:val="000000"/>
                                  <w:sz w:val="18"/>
                                  <w:szCs w:val="18"/>
                                </w:rPr>
                                <w:t>20</w:t>
                              </w:r>
                            </w:p>
                          </w:txbxContent>
                        </wps:txbx>
                        <wps:bodyPr rot="0" vert="horz" wrap="none" lIns="0" tIns="0" rIns="0" bIns="0" anchor="t" anchorCtr="0">
                          <a:spAutoFit/>
                        </wps:bodyPr>
                      </wps:wsp>
                      <wps:wsp>
                        <wps:cNvPr id="23" name="Rectangle 6"/>
                        <wps:cNvSpPr>
                          <a:spLocks noChangeArrowheads="1"/>
                        </wps:cNvSpPr>
                        <wps:spPr bwMode="auto">
                          <a:xfrm>
                            <a:off x="3664175" y="1939730"/>
                            <a:ext cx="116205" cy="287655"/>
                          </a:xfrm>
                          <a:prstGeom prst="rect">
                            <a:avLst/>
                          </a:prstGeom>
                          <a:noFill/>
                          <a:ln>
                            <a:noFill/>
                          </a:ln>
                        </wps:spPr>
                        <wps:txbx>
                          <w:txbxContent>
                            <w:p>
                              <w:r>
                                <w:rPr>
                                  <w:rFonts w:cs="Calibri"/>
                                  <w:b/>
                                  <w:bCs/>
                                  <w:color w:val="000000"/>
                                  <w:sz w:val="18"/>
                                  <w:szCs w:val="18"/>
                                </w:rPr>
                                <w:t>40</w:t>
                              </w:r>
                            </w:p>
                          </w:txbxContent>
                        </wps:txbx>
                        <wps:bodyPr rot="0" vert="horz" wrap="none" lIns="0" tIns="0" rIns="0" bIns="0" anchor="t" anchorCtr="0">
                          <a:spAutoFit/>
                        </wps:bodyPr>
                      </wps:wsp>
                      <wps:wsp>
                        <wps:cNvPr id="24" name="Rectangle 7"/>
                        <wps:cNvSpPr>
                          <a:spLocks noChangeArrowheads="1"/>
                        </wps:cNvSpPr>
                        <wps:spPr bwMode="auto">
                          <a:xfrm>
                            <a:off x="4180430" y="1923220"/>
                            <a:ext cx="116205" cy="287655"/>
                          </a:xfrm>
                          <a:prstGeom prst="rect">
                            <a:avLst/>
                          </a:prstGeom>
                          <a:noFill/>
                          <a:ln>
                            <a:noFill/>
                          </a:ln>
                        </wps:spPr>
                        <wps:txbx>
                          <w:txbxContent>
                            <w:p>
                              <w:r>
                                <w:rPr>
                                  <w:rFonts w:cs="Calibri"/>
                                  <w:b/>
                                  <w:bCs/>
                                  <w:color w:val="000000"/>
                                  <w:sz w:val="18"/>
                                  <w:szCs w:val="18"/>
                                </w:rPr>
                                <w:t>60</w:t>
                              </w:r>
                            </w:p>
                          </w:txbxContent>
                        </wps:txbx>
                        <wps:bodyPr rot="0" vert="horz" wrap="none" lIns="0" tIns="0" rIns="0" bIns="0" anchor="t" anchorCtr="0">
                          <a:spAutoFit/>
                        </wps:bodyPr>
                      </wps:wsp>
                      <wps:wsp>
                        <wps:cNvPr id="25" name="Rectangle 8"/>
                        <wps:cNvSpPr>
                          <a:spLocks noChangeArrowheads="1"/>
                        </wps:cNvSpPr>
                        <wps:spPr bwMode="auto">
                          <a:xfrm>
                            <a:off x="4720815" y="1923220"/>
                            <a:ext cx="116205" cy="287655"/>
                          </a:xfrm>
                          <a:prstGeom prst="rect">
                            <a:avLst/>
                          </a:prstGeom>
                          <a:noFill/>
                          <a:ln>
                            <a:noFill/>
                          </a:ln>
                        </wps:spPr>
                        <wps:txbx>
                          <w:txbxContent>
                            <w:p>
                              <w:r>
                                <w:rPr>
                                  <w:rFonts w:cs="Calibri"/>
                                  <w:b/>
                                  <w:bCs/>
                                  <w:color w:val="000000"/>
                                  <w:sz w:val="18"/>
                                  <w:szCs w:val="18"/>
                                </w:rPr>
                                <w:t>80</w:t>
                              </w:r>
                            </w:p>
                          </w:txbxContent>
                        </wps:txbx>
                        <wps:bodyPr rot="0" vert="horz" wrap="none" lIns="0" tIns="0" rIns="0" bIns="0" anchor="t" anchorCtr="0">
                          <a:spAutoFit/>
                        </wps:bodyPr>
                      </wps:wsp>
                      <wps:wsp>
                        <wps:cNvPr id="26" name="Rectangle 9"/>
                        <wps:cNvSpPr>
                          <a:spLocks noChangeArrowheads="1"/>
                        </wps:cNvSpPr>
                        <wps:spPr bwMode="auto">
                          <a:xfrm>
                            <a:off x="5204685" y="1931475"/>
                            <a:ext cx="173990" cy="287655"/>
                          </a:xfrm>
                          <a:prstGeom prst="rect">
                            <a:avLst/>
                          </a:prstGeom>
                          <a:noFill/>
                          <a:ln>
                            <a:noFill/>
                          </a:ln>
                        </wps:spPr>
                        <wps:txbx>
                          <w:txbxContent>
                            <w:p>
                              <w:r>
                                <w:rPr>
                                  <w:rFonts w:cs="Calibri"/>
                                  <w:b/>
                                  <w:bCs/>
                                  <w:color w:val="000000"/>
                                  <w:sz w:val="18"/>
                                  <w:szCs w:val="18"/>
                                </w:rPr>
                                <w:t>100</w:t>
                              </w:r>
                            </w:p>
                          </w:txbxContent>
                        </wps:txbx>
                        <wps:bodyPr rot="0" vert="horz" wrap="none" lIns="0" tIns="0" rIns="0" bIns="0" anchor="t" anchorCtr="0">
                          <a:spAutoFit/>
                        </wps:bodyPr>
                      </wps:wsp>
                      <wps:wsp>
                        <wps:cNvPr id="27" name="Rectangle 10"/>
                        <wps:cNvSpPr>
                          <a:spLocks noChangeArrowheads="1"/>
                        </wps:cNvSpPr>
                        <wps:spPr bwMode="auto">
                          <a:xfrm>
                            <a:off x="2110965" y="1942905"/>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8" name="Rectangle 11"/>
                        <wps:cNvSpPr>
                          <a:spLocks noChangeArrowheads="1"/>
                        </wps:cNvSpPr>
                        <wps:spPr bwMode="auto">
                          <a:xfrm>
                            <a:off x="2145890" y="1942905"/>
                            <a:ext cx="116205" cy="287655"/>
                          </a:xfrm>
                          <a:prstGeom prst="rect">
                            <a:avLst/>
                          </a:prstGeom>
                          <a:noFill/>
                          <a:ln>
                            <a:noFill/>
                          </a:ln>
                        </wps:spPr>
                        <wps:txbx>
                          <w:txbxContent>
                            <w:p>
                              <w:r>
                                <w:rPr>
                                  <w:rFonts w:cs="Calibri"/>
                                  <w:b/>
                                  <w:bCs/>
                                  <w:color w:val="000000"/>
                                  <w:sz w:val="18"/>
                                  <w:szCs w:val="18"/>
                                </w:rPr>
                                <w:t>20</w:t>
                              </w:r>
                            </w:p>
                          </w:txbxContent>
                        </wps:txbx>
                        <wps:bodyPr rot="0" vert="horz" wrap="none" lIns="0" tIns="0" rIns="0" bIns="0" anchor="t" anchorCtr="0">
                          <a:spAutoFit/>
                        </wps:bodyPr>
                      </wps:wsp>
                      <wps:wsp>
                        <wps:cNvPr id="29" name="Rectangle 12"/>
                        <wps:cNvSpPr>
                          <a:spLocks noChangeArrowheads="1"/>
                        </wps:cNvSpPr>
                        <wps:spPr bwMode="auto">
                          <a:xfrm>
                            <a:off x="1587090" y="1942905"/>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30" name="Rectangle 13"/>
                        <wps:cNvSpPr>
                          <a:spLocks noChangeArrowheads="1"/>
                        </wps:cNvSpPr>
                        <wps:spPr bwMode="auto">
                          <a:xfrm>
                            <a:off x="1622015" y="1942905"/>
                            <a:ext cx="116205" cy="287655"/>
                          </a:xfrm>
                          <a:prstGeom prst="rect">
                            <a:avLst/>
                          </a:prstGeom>
                          <a:noFill/>
                          <a:ln>
                            <a:noFill/>
                          </a:ln>
                        </wps:spPr>
                        <wps:txbx>
                          <w:txbxContent>
                            <w:p>
                              <w:r>
                                <w:rPr>
                                  <w:rFonts w:cs="Calibri"/>
                                  <w:b/>
                                  <w:bCs/>
                                  <w:color w:val="000000"/>
                                  <w:sz w:val="18"/>
                                  <w:szCs w:val="18"/>
                                </w:rPr>
                                <w:t>40</w:t>
                              </w:r>
                            </w:p>
                          </w:txbxContent>
                        </wps:txbx>
                        <wps:bodyPr rot="0" vert="horz" wrap="none" lIns="0" tIns="0" rIns="0" bIns="0" anchor="t" anchorCtr="0">
                          <a:spAutoFit/>
                        </wps:bodyPr>
                      </wps:wsp>
                      <wps:wsp>
                        <wps:cNvPr id="258" name="Rectangle 14"/>
                        <wps:cNvSpPr>
                          <a:spLocks noChangeArrowheads="1"/>
                        </wps:cNvSpPr>
                        <wps:spPr bwMode="auto">
                          <a:xfrm>
                            <a:off x="1072105" y="1951160"/>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59" name="Rectangle 15"/>
                        <wps:cNvSpPr>
                          <a:spLocks noChangeArrowheads="1"/>
                        </wps:cNvSpPr>
                        <wps:spPr bwMode="auto">
                          <a:xfrm>
                            <a:off x="1107665" y="1951160"/>
                            <a:ext cx="116205" cy="287655"/>
                          </a:xfrm>
                          <a:prstGeom prst="rect">
                            <a:avLst/>
                          </a:prstGeom>
                          <a:noFill/>
                          <a:ln>
                            <a:noFill/>
                          </a:ln>
                        </wps:spPr>
                        <wps:txbx>
                          <w:txbxContent>
                            <w:p>
                              <w:r>
                                <w:rPr>
                                  <w:rFonts w:cs="Calibri"/>
                                  <w:b/>
                                  <w:bCs/>
                                  <w:color w:val="000000"/>
                                  <w:sz w:val="18"/>
                                  <w:szCs w:val="18"/>
                                </w:rPr>
                                <w:t>60</w:t>
                              </w:r>
                            </w:p>
                          </w:txbxContent>
                        </wps:txbx>
                        <wps:bodyPr rot="0" vert="horz" wrap="none" lIns="0" tIns="0" rIns="0" bIns="0" anchor="t" anchorCtr="0">
                          <a:spAutoFit/>
                        </wps:bodyPr>
                      </wps:wsp>
                      <wps:wsp>
                        <wps:cNvPr id="260" name="Rectangle 16"/>
                        <wps:cNvSpPr>
                          <a:spLocks noChangeArrowheads="1"/>
                        </wps:cNvSpPr>
                        <wps:spPr bwMode="auto">
                          <a:xfrm>
                            <a:off x="614270" y="1934650"/>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61" name="Rectangle 17"/>
                        <wps:cNvSpPr>
                          <a:spLocks noChangeArrowheads="1"/>
                        </wps:cNvSpPr>
                        <wps:spPr bwMode="auto">
                          <a:xfrm>
                            <a:off x="649195" y="1934650"/>
                            <a:ext cx="116205" cy="287655"/>
                          </a:xfrm>
                          <a:prstGeom prst="rect">
                            <a:avLst/>
                          </a:prstGeom>
                          <a:noFill/>
                          <a:ln>
                            <a:noFill/>
                          </a:ln>
                        </wps:spPr>
                        <wps:txbx>
                          <w:txbxContent>
                            <w:p>
                              <w:r>
                                <w:rPr>
                                  <w:rFonts w:cs="Calibri"/>
                                  <w:b/>
                                  <w:bCs/>
                                  <w:color w:val="000000"/>
                                  <w:sz w:val="18"/>
                                  <w:szCs w:val="18"/>
                                </w:rPr>
                                <w:t>80</w:t>
                              </w:r>
                            </w:p>
                          </w:txbxContent>
                        </wps:txbx>
                        <wps:bodyPr rot="0" vert="horz" wrap="none" lIns="0" tIns="0" rIns="0" bIns="0" anchor="t" anchorCtr="0">
                          <a:spAutoFit/>
                        </wps:bodyPr>
                      </wps:wsp>
                      <wps:wsp>
                        <wps:cNvPr id="262" name="Rectangle 18"/>
                        <wps:cNvSpPr>
                          <a:spLocks noChangeArrowheads="1"/>
                        </wps:cNvSpPr>
                        <wps:spPr bwMode="auto">
                          <a:xfrm>
                            <a:off x="239620" y="1926395"/>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63" name="Rectangle 19"/>
                        <wps:cNvSpPr>
                          <a:spLocks noChangeArrowheads="1"/>
                        </wps:cNvSpPr>
                        <wps:spPr bwMode="auto">
                          <a:xfrm>
                            <a:off x="274545" y="1926395"/>
                            <a:ext cx="173990" cy="287655"/>
                          </a:xfrm>
                          <a:prstGeom prst="rect">
                            <a:avLst/>
                          </a:prstGeom>
                          <a:noFill/>
                          <a:ln>
                            <a:noFill/>
                          </a:ln>
                        </wps:spPr>
                        <wps:txbx>
                          <w:txbxContent>
                            <w:p>
                              <w:r>
                                <w:rPr>
                                  <w:rFonts w:cs="Calibri"/>
                                  <w:b/>
                                  <w:bCs/>
                                  <w:color w:val="000000"/>
                                  <w:sz w:val="18"/>
                                  <w:szCs w:val="18"/>
                                </w:rPr>
                                <w:t>100</w:t>
                              </w:r>
                            </w:p>
                          </w:txbxContent>
                        </wps:txbx>
                        <wps:bodyPr rot="0" vert="horz" wrap="none" lIns="0" tIns="0" rIns="0" bIns="0" anchor="t" anchorCtr="0">
                          <a:spAutoFit/>
                        </wps:bodyPr>
                      </wps:wsp>
                      <wps:wsp>
                        <wps:cNvPr id="264" name="Rectangle 20"/>
                        <wps:cNvSpPr>
                          <a:spLocks noChangeArrowheads="1"/>
                        </wps:cNvSpPr>
                        <wps:spPr bwMode="auto">
                          <a:xfrm>
                            <a:off x="2486250" y="1447605"/>
                            <a:ext cx="116205" cy="287655"/>
                          </a:xfrm>
                          <a:prstGeom prst="rect">
                            <a:avLst/>
                          </a:prstGeom>
                          <a:noFill/>
                          <a:ln>
                            <a:noFill/>
                          </a:ln>
                        </wps:spPr>
                        <wps:txbx>
                          <w:txbxContent>
                            <w:p>
                              <w:r>
                                <w:rPr>
                                  <w:rFonts w:cs="Calibri"/>
                                  <w:b/>
                                  <w:bCs/>
                                  <w:color w:val="000000"/>
                                  <w:sz w:val="18"/>
                                  <w:szCs w:val="18"/>
                                </w:rPr>
                                <w:t>20</w:t>
                              </w:r>
                            </w:p>
                          </w:txbxContent>
                        </wps:txbx>
                        <wps:bodyPr rot="0" vert="horz" wrap="none" lIns="0" tIns="0" rIns="0" bIns="0" anchor="t" anchorCtr="0">
                          <a:spAutoFit/>
                        </wps:bodyPr>
                      </wps:wsp>
                      <wps:wsp>
                        <wps:cNvPr id="265" name="Rectangle 21"/>
                        <wps:cNvSpPr>
                          <a:spLocks noChangeArrowheads="1"/>
                        </wps:cNvSpPr>
                        <wps:spPr bwMode="auto">
                          <a:xfrm>
                            <a:off x="2460850" y="1104705"/>
                            <a:ext cx="116205" cy="287655"/>
                          </a:xfrm>
                          <a:prstGeom prst="rect">
                            <a:avLst/>
                          </a:prstGeom>
                          <a:noFill/>
                          <a:ln>
                            <a:noFill/>
                          </a:ln>
                        </wps:spPr>
                        <wps:txbx>
                          <w:txbxContent>
                            <w:p>
                              <w:r>
                                <w:rPr>
                                  <w:rFonts w:cs="Calibri"/>
                                  <w:b/>
                                  <w:bCs/>
                                  <w:color w:val="000000"/>
                                  <w:sz w:val="18"/>
                                  <w:szCs w:val="18"/>
                                </w:rPr>
                                <w:t>40</w:t>
                              </w:r>
                            </w:p>
                          </w:txbxContent>
                        </wps:txbx>
                        <wps:bodyPr rot="0" vert="horz" wrap="none" lIns="0" tIns="0" rIns="0" bIns="0" anchor="t" anchorCtr="0">
                          <a:spAutoFit/>
                        </wps:bodyPr>
                      </wps:wsp>
                      <wps:wsp>
                        <wps:cNvPr id="266" name="Rectangle 22"/>
                        <wps:cNvSpPr>
                          <a:spLocks noChangeArrowheads="1"/>
                        </wps:cNvSpPr>
                        <wps:spPr bwMode="auto">
                          <a:xfrm>
                            <a:off x="2478630" y="720530"/>
                            <a:ext cx="116205" cy="287655"/>
                          </a:xfrm>
                          <a:prstGeom prst="rect">
                            <a:avLst/>
                          </a:prstGeom>
                          <a:noFill/>
                          <a:ln>
                            <a:noFill/>
                          </a:ln>
                        </wps:spPr>
                        <wps:txbx>
                          <w:txbxContent>
                            <w:p>
                              <w:r>
                                <w:rPr>
                                  <w:rFonts w:cs="Calibri"/>
                                  <w:b/>
                                  <w:bCs/>
                                  <w:color w:val="000000"/>
                                  <w:sz w:val="18"/>
                                  <w:szCs w:val="18"/>
                                </w:rPr>
                                <w:t>60</w:t>
                              </w:r>
                            </w:p>
                          </w:txbxContent>
                        </wps:txbx>
                        <wps:bodyPr rot="0" vert="horz" wrap="none" lIns="0" tIns="0" rIns="0" bIns="0" anchor="t" anchorCtr="0">
                          <a:spAutoFit/>
                        </wps:bodyPr>
                      </wps:wsp>
                      <wps:wsp>
                        <wps:cNvPr id="267" name="Rectangle 23"/>
                        <wps:cNvSpPr>
                          <a:spLocks noChangeArrowheads="1"/>
                        </wps:cNvSpPr>
                        <wps:spPr bwMode="auto">
                          <a:xfrm>
                            <a:off x="2470375" y="353500"/>
                            <a:ext cx="116205" cy="287655"/>
                          </a:xfrm>
                          <a:prstGeom prst="rect">
                            <a:avLst/>
                          </a:prstGeom>
                          <a:noFill/>
                          <a:ln>
                            <a:noFill/>
                          </a:ln>
                        </wps:spPr>
                        <wps:txbx>
                          <w:txbxContent>
                            <w:p>
                              <w:r>
                                <w:rPr>
                                  <w:rFonts w:cs="Calibri"/>
                                  <w:b/>
                                  <w:bCs/>
                                  <w:color w:val="000000"/>
                                  <w:sz w:val="18"/>
                                  <w:szCs w:val="18"/>
                                </w:rPr>
                                <w:t>80</w:t>
                              </w:r>
                            </w:p>
                          </w:txbxContent>
                        </wps:txbx>
                        <wps:bodyPr rot="0" vert="horz" wrap="none" lIns="0" tIns="0" rIns="0" bIns="0" anchor="t" anchorCtr="0">
                          <a:spAutoFit/>
                        </wps:bodyPr>
                      </wps:wsp>
                      <wps:wsp>
                        <wps:cNvPr id="268" name="Rectangle 24"/>
                        <wps:cNvSpPr>
                          <a:spLocks noChangeArrowheads="1"/>
                        </wps:cNvSpPr>
                        <wps:spPr bwMode="auto">
                          <a:xfrm>
                            <a:off x="2462120" y="77910"/>
                            <a:ext cx="173990" cy="287655"/>
                          </a:xfrm>
                          <a:prstGeom prst="rect">
                            <a:avLst/>
                          </a:prstGeom>
                          <a:noFill/>
                          <a:ln>
                            <a:noFill/>
                          </a:ln>
                        </wps:spPr>
                        <wps:txbx>
                          <w:txbxContent>
                            <w:p>
                              <w:r>
                                <w:rPr>
                                  <w:rFonts w:cs="Calibri"/>
                                  <w:b/>
                                  <w:bCs/>
                                  <w:color w:val="000000"/>
                                  <w:sz w:val="18"/>
                                  <w:szCs w:val="18"/>
                                </w:rPr>
                                <w:t>100</w:t>
                              </w:r>
                            </w:p>
                          </w:txbxContent>
                        </wps:txbx>
                        <wps:bodyPr rot="0" vert="horz" wrap="none" lIns="0" tIns="0" rIns="0" bIns="0" anchor="t" anchorCtr="0">
                          <a:spAutoFit/>
                        </wps:bodyPr>
                      </wps:wsp>
                      <wps:wsp>
                        <wps:cNvPr id="269" name="Rectangle 25"/>
                        <wps:cNvSpPr>
                          <a:spLocks noChangeArrowheads="1"/>
                        </wps:cNvSpPr>
                        <wps:spPr bwMode="auto">
                          <a:xfrm>
                            <a:off x="2486250" y="2190555"/>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72" name="Rectangle 26"/>
                        <wps:cNvSpPr>
                          <a:spLocks noChangeArrowheads="1"/>
                        </wps:cNvSpPr>
                        <wps:spPr bwMode="auto">
                          <a:xfrm>
                            <a:off x="2521810" y="2190555"/>
                            <a:ext cx="116205" cy="287655"/>
                          </a:xfrm>
                          <a:prstGeom prst="rect">
                            <a:avLst/>
                          </a:prstGeom>
                          <a:noFill/>
                          <a:ln>
                            <a:noFill/>
                          </a:ln>
                        </wps:spPr>
                        <wps:txbx>
                          <w:txbxContent>
                            <w:p>
                              <w:r>
                                <w:rPr>
                                  <w:rFonts w:cs="Calibri"/>
                                  <w:b/>
                                  <w:bCs/>
                                  <w:color w:val="000000"/>
                                  <w:sz w:val="18"/>
                                  <w:szCs w:val="18"/>
                                </w:rPr>
                                <w:t>20</w:t>
                              </w:r>
                            </w:p>
                          </w:txbxContent>
                        </wps:txbx>
                        <wps:bodyPr rot="0" vert="horz" wrap="none" lIns="0" tIns="0" rIns="0" bIns="0" anchor="t" anchorCtr="0">
                          <a:spAutoFit/>
                        </wps:bodyPr>
                      </wps:wsp>
                      <wps:wsp>
                        <wps:cNvPr id="273" name="Rectangle 27"/>
                        <wps:cNvSpPr>
                          <a:spLocks noChangeArrowheads="1"/>
                        </wps:cNvSpPr>
                        <wps:spPr bwMode="auto">
                          <a:xfrm>
                            <a:off x="2486250" y="2534090"/>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74" name="Rectangle 28"/>
                        <wps:cNvSpPr>
                          <a:spLocks noChangeArrowheads="1"/>
                        </wps:cNvSpPr>
                        <wps:spPr bwMode="auto">
                          <a:xfrm>
                            <a:off x="2521810" y="2534090"/>
                            <a:ext cx="116205" cy="287655"/>
                          </a:xfrm>
                          <a:prstGeom prst="rect">
                            <a:avLst/>
                          </a:prstGeom>
                          <a:noFill/>
                          <a:ln>
                            <a:noFill/>
                          </a:ln>
                        </wps:spPr>
                        <wps:txbx>
                          <w:txbxContent>
                            <w:p>
                              <w:r>
                                <w:rPr>
                                  <w:rFonts w:cs="Calibri"/>
                                  <w:b/>
                                  <w:bCs/>
                                  <w:color w:val="000000"/>
                                  <w:sz w:val="18"/>
                                  <w:szCs w:val="18"/>
                                </w:rPr>
                                <w:t>40</w:t>
                              </w:r>
                            </w:p>
                          </w:txbxContent>
                        </wps:txbx>
                        <wps:bodyPr rot="0" vert="horz" wrap="none" lIns="0" tIns="0" rIns="0" bIns="0" anchor="t" anchorCtr="0">
                          <a:spAutoFit/>
                        </wps:bodyPr>
                      </wps:wsp>
                      <wps:wsp>
                        <wps:cNvPr id="275" name="Rectangle 29"/>
                        <wps:cNvSpPr>
                          <a:spLocks noChangeArrowheads="1"/>
                        </wps:cNvSpPr>
                        <wps:spPr bwMode="auto">
                          <a:xfrm>
                            <a:off x="2494505" y="2925885"/>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76" name="Rectangle 30"/>
                        <wps:cNvSpPr>
                          <a:spLocks noChangeArrowheads="1"/>
                        </wps:cNvSpPr>
                        <wps:spPr bwMode="auto">
                          <a:xfrm>
                            <a:off x="2529430" y="2925885"/>
                            <a:ext cx="116205" cy="287655"/>
                          </a:xfrm>
                          <a:prstGeom prst="rect">
                            <a:avLst/>
                          </a:prstGeom>
                          <a:noFill/>
                          <a:ln>
                            <a:noFill/>
                          </a:ln>
                        </wps:spPr>
                        <wps:txbx>
                          <w:txbxContent>
                            <w:p>
                              <w:r>
                                <w:rPr>
                                  <w:rFonts w:cs="Calibri"/>
                                  <w:b/>
                                  <w:bCs/>
                                  <w:color w:val="000000"/>
                                  <w:sz w:val="18"/>
                                  <w:szCs w:val="18"/>
                                </w:rPr>
                                <w:t>60</w:t>
                              </w:r>
                            </w:p>
                          </w:txbxContent>
                        </wps:txbx>
                        <wps:bodyPr rot="0" vert="horz" wrap="none" lIns="0" tIns="0" rIns="0" bIns="0" anchor="t" anchorCtr="0">
                          <a:spAutoFit/>
                        </wps:bodyPr>
                      </wps:wsp>
                      <wps:wsp>
                        <wps:cNvPr id="277" name="Rectangle 31"/>
                        <wps:cNvSpPr>
                          <a:spLocks noChangeArrowheads="1"/>
                        </wps:cNvSpPr>
                        <wps:spPr bwMode="auto">
                          <a:xfrm>
                            <a:off x="2494505" y="3301170"/>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78" name="Rectangle 32"/>
                        <wps:cNvSpPr>
                          <a:spLocks noChangeArrowheads="1"/>
                        </wps:cNvSpPr>
                        <wps:spPr bwMode="auto">
                          <a:xfrm>
                            <a:off x="2529430" y="3301170"/>
                            <a:ext cx="116205" cy="287655"/>
                          </a:xfrm>
                          <a:prstGeom prst="rect">
                            <a:avLst/>
                          </a:prstGeom>
                          <a:noFill/>
                          <a:ln>
                            <a:noFill/>
                          </a:ln>
                        </wps:spPr>
                        <wps:txbx>
                          <w:txbxContent>
                            <w:p>
                              <w:r>
                                <w:rPr>
                                  <w:rFonts w:cs="Calibri"/>
                                  <w:b/>
                                  <w:bCs/>
                                  <w:color w:val="000000"/>
                                  <w:sz w:val="18"/>
                                  <w:szCs w:val="18"/>
                                </w:rPr>
                                <w:t>80</w:t>
                              </w:r>
                            </w:p>
                          </w:txbxContent>
                        </wps:txbx>
                        <wps:bodyPr rot="0" vert="horz" wrap="none" lIns="0" tIns="0" rIns="0" bIns="0" anchor="t" anchorCtr="0">
                          <a:spAutoFit/>
                        </wps:bodyPr>
                      </wps:wsp>
                      <wps:wsp>
                        <wps:cNvPr id="279" name="Rectangle 33"/>
                        <wps:cNvSpPr>
                          <a:spLocks noChangeArrowheads="1"/>
                        </wps:cNvSpPr>
                        <wps:spPr bwMode="auto">
                          <a:xfrm>
                            <a:off x="2486250" y="3677090"/>
                            <a:ext cx="35560" cy="287655"/>
                          </a:xfrm>
                          <a:prstGeom prst="rect">
                            <a:avLst/>
                          </a:prstGeom>
                          <a:noFill/>
                          <a:ln>
                            <a:noFill/>
                          </a:ln>
                        </wps:spPr>
                        <wps:txbx>
                          <w:txbxContent>
                            <w:p>
                              <w:r>
                                <w:rPr>
                                  <w:rFonts w:cs="Calibri"/>
                                  <w:b/>
                                  <w:bCs/>
                                  <w:color w:val="000000"/>
                                  <w:sz w:val="18"/>
                                  <w:szCs w:val="18"/>
                                </w:rPr>
                                <w:t>-</w:t>
                              </w:r>
                            </w:p>
                          </w:txbxContent>
                        </wps:txbx>
                        <wps:bodyPr rot="0" vert="horz" wrap="none" lIns="0" tIns="0" rIns="0" bIns="0" anchor="t" anchorCtr="0">
                          <a:spAutoFit/>
                        </wps:bodyPr>
                      </wps:wsp>
                      <wps:wsp>
                        <wps:cNvPr id="280" name="Rectangle 34"/>
                        <wps:cNvSpPr>
                          <a:spLocks noChangeArrowheads="1"/>
                        </wps:cNvSpPr>
                        <wps:spPr bwMode="auto">
                          <a:xfrm>
                            <a:off x="2521810" y="3677090"/>
                            <a:ext cx="173990" cy="287655"/>
                          </a:xfrm>
                          <a:prstGeom prst="rect">
                            <a:avLst/>
                          </a:prstGeom>
                          <a:noFill/>
                          <a:ln>
                            <a:noFill/>
                          </a:ln>
                        </wps:spPr>
                        <wps:txbx>
                          <w:txbxContent>
                            <w:p>
                              <w:r>
                                <w:rPr>
                                  <w:rFonts w:cs="Calibri"/>
                                  <w:b/>
                                  <w:bCs/>
                                  <w:color w:val="000000"/>
                                  <w:sz w:val="18"/>
                                  <w:szCs w:val="18"/>
                                </w:rPr>
                                <w:t>100</w:t>
                              </w:r>
                            </w:p>
                          </w:txbxContent>
                        </wps:txbx>
                        <wps:bodyPr rot="0" vert="horz" wrap="none" lIns="0" tIns="0" rIns="0" bIns="0" anchor="t" anchorCtr="0">
                          <a:spAutoFit/>
                        </wps:bodyPr>
                      </wps:wsp>
                      <wps:wsp>
                        <wps:cNvPr id="281" name="Line 35"/>
                        <wps:cNvCnPr>
                          <a:cxnSpLocks noChangeShapeType="1"/>
                        </wps:cNvCnPr>
                        <wps:spPr bwMode="auto">
                          <a:xfrm>
                            <a:off x="166595" y="1871785"/>
                            <a:ext cx="5048885" cy="1270"/>
                          </a:xfrm>
                          <a:prstGeom prst="line">
                            <a:avLst/>
                          </a:prstGeom>
                          <a:noFill/>
                          <a:ln w="23495" cap="flat">
                            <a:solidFill>
                              <a:srgbClr val="4A7EBB"/>
                            </a:solidFill>
                            <a:prstDash val="solid"/>
                            <a:round/>
                          </a:ln>
                        </wps:spPr>
                        <wps:bodyPr/>
                      </wps:wsp>
                      <wps:wsp>
                        <wps:cNvPr id="282" name="Line 36"/>
                        <wps:cNvCnPr>
                          <a:cxnSpLocks noChangeShapeType="1"/>
                        </wps:cNvCnPr>
                        <wps:spPr bwMode="auto">
                          <a:xfrm flipH="1" flipV="1">
                            <a:off x="2647540" y="51240"/>
                            <a:ext cx="33020" cy="3681730"/>
                          </a:xfrm>
                          <a:prstGeom prst="line">
                            <a:avLst/>
                          </a:prstGeom>
                          <a:noFill/>
                          <a:ln w="23495" cap="flat">
                            <a:solidFill>
                              <a:srgbClr val="4A7EBB"/>
                            </a:solidFill>
                            <a:prstDash val="solid"/>
                            <a:round/>
                          </a:ln>
                        </wps:spPr>
                        <wps:bodyPr/>
                      </wps:wsp>
                      <wps:wsp>
                        <wps:cNvPr id="283" name="Rectangle 37"/>
                        <wps:cNvSpPr>
                          <a:spLocks noChangeArrowheads="1"/>
                        </wps:cNvSpPr>
                        <wps:spPr bwMode="auto">
                          <a:xfrm>
                            <a:off x="4732880" y="1673030"/>
                            <a:ext cx="408940" cy="287655"/>
                          </a:xfrm>
                          <a:prstGeom prst="rect">
                            <a:avLst/>
                          </a:prstGeom>
                          <a:noFill/>
                          <a:ln>
                            <a:noFill/>
                          </a:ln>
                        </wps:spPr>
                        <wps:txbx>
                          <w:txbxContent>
                            <w:p>
                              <w:r>
                                <w:rPr>
                                  <w:rFonts w:cs="Calibri"/>
                                  <w:b/>
                                  <w:bCs/>
                                  <w:color w:val="000000"/>
                                  <w:sz w:val="18"/>
                                  <w:szCs w:val="18"/>
                                </w:rPr>
                                <w:t>Strength</w:t>
                              </w:r>
                            </w:p>
                          </w:txbxContent>
                        </wps:txbx>
                        <wps:bodyPr rot="0" vert="horz" wrap="none" lIns="0" tIns="0" rIns="0" bIns="0" anchor="t" anchorCtr="0">
                          <a:spAutoFit/>
                        </wps:bodyPr>
                      </wps:wsp>
                      <wps:wsp>
                        <wps:cNvPr id="284" name="Rectangle 38"/>
                        <wps:cNvSpPr>
                          <a:spLocks noChangeArrowheads="1"/>
                        </wps:cNvSpPr>
                        <wps:spPr bwMode="auto">
                          <a:xfrm>
                            <a:off x="238985" y="1641280"/>
                            <a:ext cx="482600" cy="287655"/>
                          </a:xfrm>
                          <a:prstGeom prst="rect">
                            <a:avLst/>
                          </a:prstGeom>
                          <a:noFill/>
                          <a:ln>
                            <a:noFill/>
                          </a:ln>
                        </wps:spPr>
                        <wps:txbx>
                          <w:txbxContent>
                            <w:p>
                              <w:r>
                                <w:rPr>
                                  <w:rFonts w:cs="Calibri"/>
                                  <w:b/>
                                  <w:bCs/>
                                  <w:color w:val="000000"/>
                                  <w:sz w:val="18"/>
                                  <w:szCs w:val="18"/>
                                </w:rPr>
                                <w:t>Weakness</w:t>
                              </w:r>
                            </w:p>
                          </w:txbxContent>
                        </wps:txbx>
                        <wps:bodyPr rot="0" vert="horz" wrap="none" lIns="0" tIns="0" rIns="0" bIns="0" anchor="t" anchorCtr="0">
                          <a:spAutoFit/>
                        </wps:bodyPr>
                      </wps:wsp>
                      <wps:wsp>
                        <wps:cNvPr id="285" name="Rectangle 39"/>
                        <wps:cNvSpPr>
                          <a:spLocks noChangeArrowheads="1"/>
                        </wps:cNvSpPr>
                        <wps:spPr bwMode="auto">
                          <a:xfrm>
                            <a:off x="2708500" y="36000"/>
                            <a:ext cx="586740" cy="287655"/>
                          </a:xfrm>
                          <a:prstGeom prst="rect">
                            <a:avLst/>
                          </a:prstGeom>
                          <a:noFill/>
                          <a:ln>
                            <a:noFill/>
                          </a:ln>
                        </wps:spPr>
                        <wps:txbx>
                          <w:txbxContent>
                            <w:p>
                              <w:r>
                                <w:rPr>
                                  <w:rFonts w:cs="Calibri"/>
                                  <w:b/>
                                  <w:bCs/>
                                  <w:color w:val="000000"/>
                                  <w:sz w:val="18"/>
                                  <w:szCs w:val="18"/>
                                </w:rPr>
                                <w:t>Opportunity</w:t>
                              </w:r>
                            </w:p>
                          </w:txbxContent>
                        </wps:txbx>
                        <wps:bodyPr rot="0" vert="horz" wrap="none" lIns="0" tIns="0" rIns="0" bIns="0" anchor="t" anchorCtr="0">
                          <a:spAutoFit/>
                        </wps:bodyPr>
                      </wps:wsp>
                      <wps:wsp>
                        <wps:cNvPr id="286" name="Rectangle 40"/>
                        <wps:cNvSpPr>
                          <a:spLocks noChangeArrowheads="1"/>
                        </wps:cNvSpPr>
                        <wps:spPr bwMode="auto">
                          <a:xfrm>
                            <a:off x="2796130" y="3499925"/>
                            <a:ext cx="312420" cy="287655"/>
                          </a:xfrm>
                          <a:prstGeom prst="rect">
                            <a:avLst/>
                          </a:prstGeom>
                          <a:noFill/>
                          <a:ln>
                            <a:noFill/>
                          </a:ln>
                        </wps:spPr>
                        <wps:txbx>
                          <w:txbxContent>
                            <w:p>
                              <w:r>
                                <w:rPr>
                                  <w:rFonts w:cs="Calibri"/>
                                  <w:b/>
                                  <w:bCs/>
                                  <w:color w:val="000000"/>
                                  <w:sz w:val="18"/>
                                  <w:szCs w:val="18"/>
                                </w:rPr>
                                <w:t>Threat</w:t>
                              </w:r>
                            </w:p>
                          </w:txbxContent>
                        </wps:txbx>
                        <wps:bodyPr rot="0" vert="horz" wrap="none" lIns="0" tIns="0" rIns="0" bIns="0" anchor="t" anchorCtr="0">
                          <a:spAutoFit/>
                        </wps:bodyPr>
                      </wps:wsp>
                      <wps:wsp>
                        <wps:cNvPr id="287" name="Freeform 41"/>
                        <wps:cNvSpPr/>
                        <wps:spPr bwMode="auto">
                          <a:xfrm>
                            <a:off x="2417670" y="1553650"/>
                            <a:ext cx="163195" cy="157480"/>
                          </a:xfrm>
                          <a:custGeom>
                            <a:avLst/>
                            <a:gdLst>
                              <a:gd name="T0" fmla="*/ 0 w 257"/>
                              <a:gd name="T1" fmla="*/ 95 h 248"/>
                              <a:gd name="T2" fmla="*/ 99 w 257"/>
                              <a:gd name="T3" fmla="*/ 95 h 248"/>
                              <a:gd name="T4" fmla="*/ 128 w 257"/>
                              <a:gd name="T5" fmla="*/ 0 h 248"/>
                              <a:gd name="T6" fmla="*/ 159 w 257"/>
                              <a:gd name="T7" fmla="*/ 95 h 248"/>
                              <a:gd name="T8" fmla="*/ 257 w 257"/>
                              <a:gd name="T9" fmla="*/ 95 h 248"/>
                              <a:gd name="T10" fmla="*/ 178 w 257"/>
                              <a:gd name="T11" fmla="*/ 153 h 248"/>
                              <a:gd name="T12" fmla="*/ 208 w 257"/>
                              <a:gd name="T13" fmla="*/ 248 h 248"/>
                              <a:gd name="T14" fmla="*/ 128 w 257"/>
                              <a:gd name="T15" fmla="*/ 189 h 248"/>
                              <a:gd name="T16" fmla="*/ 49 w 257"/>
                              <a:gd name="T17" fmla="*/ 248 h 248"/>
                              <a:gd name="T18" fmla="*/ 80 w 257"/>
                              <a:gd name="T19" fmla="*/ 153 h 248"/>
                              <a:gd name="T20" fmla="*/ 0 w 257"/>
                              <a:gd name="T21" fmla="*/ 9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7" h="248">
                                <a:moveTo>
                                  <a:pt x="0" y="95"/>
                                </a:moveTo>
                                <a:lnTo>
                                  <a:pt x="99" y="95"/>
                                </a:lnTo>
                                <a:lnTo>
                                  <a:pt x="128" y="0"/>
                                </a:lnTo>
                                <a:lnTo>
                                  <a:pt x="159" y="95"/>
                                </a:lnTo>
                                <a:lnTo>
                                  <a:pt x="257" y="95"/>
                                </a:lnTo>
                                <a:lnTo>
                                  <a:pt x="178" y="153"/>
                                </a:lnTo>
                                <a:lnTo>
                                  <a:pt x="208" y="248"/>
                                </a:lnTo>
                                <a:lnTo>
                                  <a:pt x="128" y="189"/>
                                </a:lnTo>
                                <a:lnTo>
                                  <a:pt x="49" y="248"/>
                                </a:lnTo>
                                <a:lnTo>
                                  <a:pt x="80" y="153"/>
                                </a:lnTo>
                                <a:lnTo>
                                  <a:pt x="0" y="95"/>
                                </a:lnTo>
                                <a:close/>
                              </a:path>
                            </a:pathLst>
                          </a:custGeom>
                          <a:solidFill>
                            <a:srgbClr val="FF0000"/>
                          </a:solidFill>
                          <a:ln>
                            <a:noFill/>
                          </a:ln>
                        </wps:spPr>
                        <wps:bodyPr rot="0" vert="horz" wrap="square" lIns="91440" tIns="45720" rIns="91440" bIns="45720" anchor="t" anchorCtr="0" upright="1">
                          <a:noAutofit/>
                        </wps:bodyPr>
                      </wps:wsp>
                      <wps:wsp>
                        <wps:cNvPr id="288" name="Freeform 42"/>
                        <wps:cNvSpPr/>
                        <wps:spPr bwMode="auto">
                          <a:xfrm>
                            <a:off x="2417670" y="1553650"/>
                            <a:ext cx="163195" cy="157480"/>
                          </a:xfrm>
                          <a:custGeom>
                            <a:avLst/>
                            <a:gdLst>
                              <a:gd name="T0" fmla="*/ 0 w 257"/>
                              <a:gd name="T1" fmla="*/ 95 h 248"/>
                              <a:gd name="T2" fmla="*/ 99 w 257"/>
                              <a:gd name="T3" fmla="*/ 95 h 248"/>
                              <a:gd name="T4" fmla="*/ 128 w 257"/>
                              <a:gd name="T5" fmla="*/ 0 h 248"/>
                              <a:gd name="T6" fmla="*/ 159 w 257"/>
                              <a:gd name="T7" fmla="*/ 95 h 248"/>
                              <a:gd name="T8" fmla="*/ 257 w 257"/>
                              <a:gd name="T9" fmla="*/ 95 h 248"/>
                              <a:gd name="T10" fmla="*/ 178 w 257"/>
                              <a:gd name="T11" fmla="*/ 153 h 248"/>
                              <a:gd name="T12" fmla="*/ 208 w 257"/>
                              <a:gd name="T13" fmla="*/ 248 h 248"/>
                              <a:gd name="T14" fmla="*/ 128 w 257"/>
                              <a:gd name="T15" fmla="*/ 189 h 248"/>
                              <a:gd name="T16" fmla="*/ 49 w 257"/>
                              <a:gd name="T17" fmla="*/ 248 h 248"/>
                              <a:gd name="T18" fmla="*/ 80 w 257"/>
                              <a:gd name="T19" fmla="*/ 153 h 248"/>
                              <a:gd name="T20" fmla="*/ 0 w 257"/>
                              <a:gd name="T21" fmla="*/ 9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7" h="248">
                                <a:moveTo>
                                  <a:pt x="0" y="95"/>
                                </a:moveTo>
                                <a:lnTo>
                                  <a:pt x="99" y="95"/>
                                </a:lnTo>
                                <a:lnTo>
                                  <a:pt x="128" y="0"/>
                                </a:lnTo>
                                <a:lnTo>
                                  <a:pt x="159" y="95"/>
                                </a:lnTo>
                                <a:lnTo>
                                  <a:pt x="257" y="95"/>
                                </a:lnTo>
                                <a:lnTo>
                                  <a:pt x="178" y="153"/>
                                </a:lnTo>
                                <a:lnTo>
                                  <a:pt x="208" y="248"/>
                                </a:lnTo>
                                <a:lnTo>
                                  <a:pt x="128" y="189"/>
                                </a:lnTo>
                                <a:lnTo>
                                  <a:pt x="49" y="248"/>
                                </a:lnTo>
                                <a:lnTo>
                                  <a:pt x="80" y="153"/>
                                </a:lnTo>
                                <a:lnTo>
                                  <a:pt x="0" y="95"/>
                                </a:lnTo>
                                <a:close/>
                              </a:path>
                            </a:pathLst>
                          </a:custGeom>
                          <a:noFill/>
                          <a:ln w="17780" cap="flat">
                            <a:solidFill>
                              <a:srgbClr val="385D8A"/>
                            </a:solidFill>
                            <a:prstDash val="solid"/>
                            <a:miter lim="800000"/>
                          </a:ln>
                        </wps:spPr>
                        <wps:bodyPr rot="0" vert="horz" wrap="square" lIns="91440" tIns="45720" rIns="91440" bIns="45720" anchor="t" anchorCtr="0" upright="1">
                          <a:noAutofit/>
                        </wps:bodyPr>
                      </wps:wsp>
                      <wps:wsp>
                        <wps:cNvPr id="289" name="Rectangle 43"/>
                        <wps:cNvSpPr>
                          <a:spLocks noChangeArrowheads="1"/>
                        </wps:cNvSpPr>
                        <wps:spPr bwMode="auto">
                          <a:xfrm>
                            <a:off x="1709645" y="1405060"/>
                            <a:ext cx="34925" cy="287655"/>
                          </a:xfrm>
                          <a:prstGeom prst="rect">
                            <a:avLst/>
                          </a:prstGeom>
                          <a:noFill/>
                          <a:ln>
                            <a:noFill/>
                          </a:ln>
                        </wps:spPr>
                        <wps:txbx>
                          <w:txbxContent>
                            <w:p>
                              <w:r>
                                <w:rPr>
                                  <w:rFonts w:cs="Calibri"/>
                                  <w:color w:val="000000"/>
                                  <w:sz w:val="18"/>
                                  <w:szCs w:val="18"/>
                                </w:rPr>
                                <w:t>(</w:t>
                              </w:r>
                            </w:p>
                          </w:txbxContent>
                        </wps:txbx>
                        <wps:bodyPr rot="0" vert="horz" wrap="none" lIns="0" tIns="0" rIns="0" bIns="0" anchor="t" anchorCtr="0">
                          <a:spAutoFit/>
                        </wps:bodyPr>
                      </wps:wsp>
                      <wps:wsp>
                        <wps:cNvPr id="290" name="Rectangle 44"/>
                        <wps:cNvSpPr>
                          <a:spLocks noChangeArrowheads="1"/>
                        </wps:cNvSpPr>
                        <wps:spPr bwMode="auto">
                          <a:xfrm>
                            <a:off x="1744570" y="1405060"/>
                            <a:ext cx="35560" cy="287655"/>
                          </a:xfrm>
                          <a:prstGeom prst="rect">
                            <a:avLst/>
                          </a:prstGeom>
                          <a:noFill/>
                          <a:ln>
                            <a:noFill/>
                          </a:ln>
                        </wps:spPr>
                        <wps:txbx>
                          <w:txbxContent>
                            <w:p>
                              <w:r>
                                <w:rPr>
                                  <w:rFonts w:cs="Calibri"/>
                                  <w:color w:val="000000"/>
                                  <w:sz w:val="18"/>
                                  <w:szCs w:val="18"/>
                                </w:rPr>
                                <w:t>-</w:t>
                              </w:r>
                            </w:p>
                          </w:txbxContent>
                        </wps:txbx>
                        <wps:bodyPr rot="0" vert="horz" wrap="none" lIns="0" tIns="0" rIns="0" bIns="0" anchor="t" anchorCtr="0">
                          <a:spAutoFit/>
                        </wps:bodyPr>
                      </wps:wsp>
                      <wps:wsp>
                        <wps:cNvPr id="291" name="Rectangle 45"/>
                        <wps:cNvSpPr>
                          <a:spLocks noChangeArrowheads="1"/>
                        </wps:cNvSpPr>
                        <wps:spPr bwMode="auto">
                          <a:xfrm>
                            <a:off x="1779495" y="1405060"/>
                            <a:ext cx="438150" cy="287655"/>
                          </a:xfrm>
                          <a:prstGeom prst="rect">
                            <a:avLst/>
                          </a:prstGeom>
                          <a:noFill/>
                          <a:ln>
                            <a:noFill/>
                          </a:ln>
                        </wps:spPr>
                        <wps:txbx>
                          <w:txbxContent>
                            <w:p>
                              <w:r>
                                <w:rPr>
                                  <w:rFonts w:cs="Calibri"/>
                                  <w:color w:val="000000"/>
                                  <w:sz w:val="18"/>
                                  <w:szCs w:val="18"/>
                                </w:rPr>
                                <w:t>1,25; 3,5)</w:t>
                              </w:r>
                            </w:p>
                          </w:txbxContent>
                        </wps:txbx>
                        <wps:bodyPr rot="0" vert="horz" wrap="none" lIns="0" tIns="0" rIns="0" bIns="0" anchor="t" anchorCtr="0">
                          <a:spAutoFit/>
                        </wps:bodyPr>
                      </wps:wsp>
                    </wpc:wpc>
                  </a:graphicData>
                </a:graphic>
              </wp:anchor>
            </w:drawing>
          </mc:Choice>
          <mc:Fallback>
            <w:pict>
              <v:group id="_x0000_s1026" o:spid="_x0000_s1026" o:spt="203" style="position:absolute;left:0pt;margin-left:134.85pt;margin-top:3.4pt;height:312.15pt;width:423.75pt;mso-position-horizontal-relative:margin;mso-wrap-distance-bottom:0pt;mso-wrap-distance-top:0pt;z-index:251671552;mso-width-relative:page;mso-height-relative:page;" coordsize="5381625,3964305" editas="canvas" o:gfxdata="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AcvOgp2gAAAAoBAAAP&#10;AAAAAAAAAAEAIAAAACIAAABkcnMvZG93bnJldi54bWxQSwECFAAUAAAACACHTuJAcdFku6gJAAAk&#10;aAAADgAAAAAAAAABACAAAAApAQAAZHJzL2Uyb0RvYy54bWxQSwUGAAAAAAYABgBZAQAAQw0AAAAA&#10;">
                <o:lock v:ext="edit" aspectratio="f"/>
                <v:shape id="_x0000_s1026" o:spid="_x0000_s1026" style="position:absolute;left:0;top:0;height:3964305;width:5381625;" filled="f" stroked="f" coordsize="21600,21600" o:gfxdata="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">
                  <v:fill on="f" focussize="0,0"/>
                  <v:stroke on="f"/>
                  <v:imagedata o:title=""/>
                  <o:lock v:ext="edit" aspectratio="t"/>
                </v:shape>
                <v:rect id="Rectangle 5" o:spid="_x0000_s1026" o:spt="1" style="position:absolute;left:3140300;top:193147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VMI7YOEBAACr&#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20</w:t>
                        </w:r>
                      </w:p>
                    </w:txbxContent>
                  </v:textbox>
                </v:rect>
                <v:rect id="Rectangle 6" o:spid="_x0000_s1026" o:spt="1" style="position:absolute;left:3664175;top:193973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K7wxsDiAQAA&#10;qw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40</w:t>
                        </w:r>
                      </w:p>
                    </w:txbxContent>
                  </v:textbox>
                </v:rect>
                <v:rect id="Rectangle 7" o:spid="_x0000_s1026" o:spt="1" style="position:absolute;left:4180430;top:192322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CNfab3iAQAA&#10;qw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60</w:t>
                        </w:r>
                      </w:p>
                    </w:txbxContent>
                  </v:textbox>
                </v:rect>
                <v:rect id="Rectangle 8" o:spid="_x0000_s1026" o:spt="1" style="position:absolute;left:4720815;top:192322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X8KObuEBAACr&#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80</w:t>
                        </w:r>
                      </w:p>
                    </w:txbxContent>
                  </v:textbox>
                </v:rect>
                <v:rect id="Rectangle 9" o:spid="_x0000_s1026" o:spt="1" style="position:absolute;left:5204685;top:1931475;height:287655;width:17399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BMD3dz4wEA&#10;AKs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100</w:t>
                        </w:r>
                      </w:p>
                    </w:txbxContent>
                  </v:textbox>
                </v:rect>
                <v:rect id="Rectangle 10" o:spid="_x0000_s1026" o:spt="1" style="position:absolute;left:2110965;top:1942905;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Hn5x97iAQAA&#10;qw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11" o:spid="_x0000_s1026" o:spt="1" style="position:absolute;left:2145890;top:194290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Xt4D7WAAAACgEAAA8A&#10;AAAAAAAAAQAgAAAAIgAAAGRycy9kb3ducmV2LnhtbFBLAQIUABQAAAAIAIdO4kA9FT+B4AEAAKwD&#10;AAAOAAAAAAAAAAEAIAAAACUBAABkcnMvZTJvRG9jLnhtbFBLBQYAAAAABgAGAFkBAAB3BQAAAAA=&#10;">
                  <v:fill on="f" focussize="0,0"/>
                  <v:stroke on="f"/>
                  <v:imagedata o:title=""/>
                  <o:lock v:ext="edit" aspectratio="f"/>
                  <v:textbox inset="0mm,0mm,0mm,0mm" style="mso-fit-shape-to-text:t;">
                    <w:txbxContent>
                      <w:p>
                        <w:r>
                          <w:rPr>
                            <w:rFonts w:cs="Calibri"/>
                            <w:b/>
                            <w:bCs/>
                            <w:color w:val="000000"/>
                            <w:sz w:val="18"/>
                            <w:szCs w:val="18"/>
                          </w:rPr>
                          <w:t>20</w:t>
                        </w:r>
                      </w:p>
                    </w:txbxContent>
                  </v:textbox>
                </v:rect>
                <v:rect id="Rectangle 12" o:spid="_x0000_s1026" o:spt="1" style="position:absolute;left:1587090;top:1942905;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Bl/AGeEBAACr&#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13" o:spid="_x0000_s1026" o:spt="1" style="position:absolute;left:1622015;top:194290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e3gPtYAAAAKAQAADwAA&#10;AAAAAAABACAAAAAiAAAAZHJzL2Rvd25yZXYueG1sUEsBAhQAFAAAAAgAh07iQH4EGYPfAQAArAMA&#10;AA4AAAAAAAAAAQAgAAAAJQEAAGRycy9lMm9Eb2MueG1sUEsFBgAAAAAGAAYAWQEAAHYFAAAAAA==&#10;">
                  <v:fill on="f" focussize="0,0"/>
                  <v:stroke on="f"/>
                  <v:imagedata o:title=""/>
                  <o:lock v:ext="edit" aspectratio="f"/>
                  <v:textbox inset="0mm,0mm,0mm,0mm" style="mso-fit-shape-to-text:t;">
                    <w:txbxContent>
                      <w:p>
                        <w:r>
                          <w:rPr>
                            <w:rFonts w:cs="Calibri"/>
                            <w:b/>
                            <w:bCs/>
                            <w:color w:val="000000"/>
                            <w:sz w:val="18"/>
                            <w:szCs w:val="18"/>
                          </w:rPr>
                          <w:t>40</w:t>
                        </w:r>
                      </w:p>
                    </w:txbxContent>
                  </v:textbox>
                </v:rect>
                <v:rect id="Rectangle 14" o:spid="_x0000_s1026" o:spt="1" style="position:absolute;left:1072105;top:195116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WumWyeEBAACs&#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15" o:spid="_x0000_s1026" o:spt="1" style="position:absolute;left:1107665;top:195116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Xt4D7WAAAACgEAAA8A&#10;AAAAAAAAAQAgAAAAIgAAAGRycy9kb3ducmV2LnhtbFBLAQIUABQAAAAIAIdO4kBSeYUU4AEAAK0D&#10;AAAOAAAAAAAAAAEAIAAAACUBAABkcnMvZTJvRG9jLnhtbFBLBQYAAAAABgAGAFkBAAB3BQAAAAA=&#10;">
                  <v:fill on="f" focussize="0,0"/>
                  <v:stroke on="f"/>
                  <v:imagedata o:title=""/>
                  <o:lock v:ext="edit" aspectratio="f"/>
                  <v:textbox inset="0mm,0mm,0mm,0mm" style="mso-fit-shape-to-text:t;">
                    <w:txbxContent>
                      <w:p>
                        <w:r>
                          <w:rPr>
                            <w:rFonts w:cs="Calibri"/>
                            <w:b/>
                            <w:bCs/>
                            <w:color w:val="000000"/>
                            <w:sz w:val="18"/>
                            <w:szCs w:val="18"/>
                          </w:rPr>
                          <w:t>60</w:t>
                        </w:r>
                      </w:p>
                    </w:txbxContent>
                  </v:textbox>
                </v:rect>
                <v:rect id="Rectangle 16" o:spid="_x0000_s1026" o:spt="1" style="position:absolute;left:614270;top:193465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Xt4D7WAAAACgEAAA8A&#10;AAAAAAAAAQAgAAAAIgAAAGRycy9kb3ducmV2LnhtbFBLAQIUABQAAAAIAIdO4kBX6EsO4AEAAKsD&#10;AAAOAAAAAAAAAAEAIAAAACUBAABkcnMvZTJvRG9jLnhtbFBLBQYAAAAABgAGAFkBAAB3BQA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17" o:spid="_x0000_s1026" o:spt="1" style="position:absolute;left:649195;top:193465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CQd9RB4wEA&#10;AKw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80</w:t>
                        </w:r>
                      </w:p>
                    </w:txbxContent>
                  </v:textbox>
                </v:rect>
                <v:rect id="Rectangle 18" o:spid="_x0000_s1026" o:spt="1" style="position:absolute;left:239620;top:1926395;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J2Kcd+EBAACr&#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19" o:spid="_x0000_s1026" o:spt="1" style="position:absolute;left:274545;top:1926395;height:287655;width:17399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Dz5ACM4wEA&#10;AKw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100</w:t>
                        </w:r>
                      </w:p>
                    </w:txbxContent>
                  </v:textbox>
                </v:rect>
                <v:rect id="Rectangle 20" o:spid="_x0000_s1026" o:spt="1" style="position:absolute;left:2486250;top:144760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Ito9oriAQAA&#10;rQ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20</w:t>
                        </w:r>
                      </w:p>
                    </w:txbxContent>
                  </v:textbox>
                </v:rect>
                <v:rect id="Rectangle 21" o:spid="_x0000_s1026" o:spt="1" style="position:absolute;left:2460850;top:110470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fKEF8+EBAACt&#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40</w:t>
                        </w:r>
                      </w:p>
                    </w:txbxContent>
                  </v:textbox>
                </v:rect>
                <v:rect id="Rectangle 22" o:spid="_x0000_s1026" o:spt="1" style="position:absolute;left:2478630;top:72053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KU3peLiAQAA&#10;rA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60</w:t>
                        </w:r>
                      </w:p>
                    </w:txbxContent>
                  </v:textbox>
                </v:rect>
                <v:rect id="Rectangle 23" o:spid="_x0000_s1026" o:spt="1" style="position:absolute;left:2470375;top:35350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AAwFLZ4wEA&#10;AKw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80</w:t>
                        </w:r>
                      </w:p>
                    </w:txbxContent>
                  </v:textbox>
                </v:rect>
                <v:rect id="Rectangle 24" o:spid="_x0000_s1026" o:spt="1" style="position:absolute;left:2462120;top:77910;height:287655;width:17399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EUSLoviAQAA&#10;qw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100</w:t>
                        </w:r>
                      </w:p>
                    </w:txbxContent>
                  </v:textbox>
                </v:rect>
                <v:rect id="Rectangle 25" o:spid="_x0000_s1026" o:spt="1" style="position:absolute;left:2486250;top:2190555;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Ie7y5OEBAACs&#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26" o:spid="_x0000_s1026" o:spt="1" style="position:absolute;left:2521810;top:219055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wt59POEBAACt&#10;AwAADgAAAAAAAAABACAAAAAlAQAAZHJzL2Uyb0RvYy54bWxQSwUGAAAAAAYABgBZAQAAeAUAAAAA&#10;">
                  <v:fill on="f" focussize="0,0"/>
                  <v:stroke on="f"/>
                  <v:imagedata o:title=""/>
                  <o:lock v:ext="edit" aspectratio="f"/>
                  <v:textbox inset="0mm,0mm,0mm,0mm" style="mso-fit-shape-to-text:t;">
                    <w:txbxContent>
                      <w:p>
                        <w:r>
                          <w:rPr>
                            <w:rFonts w:cs="Calibri"/>
                            <w:b/>
                            <w:bCs/>
                            <w:color w:val="000000"/>
                            <w:sz w:val="18"/>
                            <w:szCs w:val="18"/>
                          </w:rPr>
                          <w:t>20</w:t>
                        </w:r>
                      </w:p>
                    </w:txbxContent>
                  </v:textbox>
                </v:rect>
                <v:rect id="Rectangle 27" o:spid="_x0000_s1026" o:spt="1" style="position:absolute;left:2486250;top:253409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D39FLLiAQAA&#10;rA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28" o:spid="_x0000_s1026" o:spt="1" style="position:absolute;left:2521810;top:253409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JH2tnjiAQAA&#10;rQ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40</w:t>
                        </w:r>
                      </w:p>
                    </w:txbxContent>
                  </v:textbox>
                </v:rect>
                <v:rect id="Rectangle 29" o:spid="_x0000_s1026" o:spt="1" style="position:absolute;left:2494505;top:2925885;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K809WLiAQAA&#10;rA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30" o:spid="_x0000_s1026" o:spt="1" style="position:absolute;left:2529430;top:2925885;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Dj4WdL4wEA&#10;AK0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60</w:t>
                        </w:r>
                      </w:p>
                    </w:txbxContent>
                  </v:textbox>
                </v:rect>
                <v:rect id="Rectangle 31" o:spid="_x0000_s1026" o:spt="1" style="position:absolute;left:2494505;top:330117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Mf3IWLiAQAA&#10;rA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32" o:spid="_x0000_s1026" o:spt="1" style="position:absolute;left:2529430;top:3301170;height:287655;width:11620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7eA+1gAAAAoB&#10;AAAPAAAAAAAAAAEAIAAAACIAAABkcnMvZG93bnJldi54bWxQSwECFAAUAAAACACHTuJAEGbFEOQB&#10;AACtAwAADgAAAAAAAAABACAAAAAlAQAAZHJzL2Uyb0RvYy54bWxQSwUGAAAAAAYABgBZAQAAewUA&#10;AAAA&#10;">
                  <v:fill on="f" focussize="0,0"/>
                  <v:stroke on="f"/>
                  <v:imagedata o:title=""/>
                  <o:lock v:ext="edit" aspectratio="f"/>
                  <v:textbox inset="0mm,0mm,0mm,0mm" style="mso-fit-shape-to-text:t;">
                    <w:txbxContent>
                      <w:p>
                        <w:r>
                          <w:rPr>
                            <w:rFonts w:cs="Calibri"/>
                            <w:b/>
                            <w:bCs/>
                            <w:color w:val="000000"/>
                            <w:sz w:val="18"/>
                            <w:szCs w:val="18"/>
                          </w:rPr>
                          <w:t>80</w:t>
                        </w:r>
                      </w:p>
                    </w:txbxContent>
                  </v:textbox>
                </v:rect>
                <v:rect id="Rectangle 33" o:spid="_x0000_s1026" o:spt="1" style="position:absolute;left:2486250;top:367709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7eA+1gAAAAoB&#10;AAAPAAAAAAAAAAEAIAAAACIAAABkcnMvZG93bnJldi54bWxQSwECFAAUAAAACACHTuJAjLz7EeQB&#10;AACsAwAADgAAAAAAAAABACAAAAAlAQAAZHJzL2Uyb0RvYy54bWxQSwUGAAAAAAYABgBZAQAAewUA&#10;AAAA&#10;">
                  <v:fill on="f" focussize="0,0"/>
                  <v:stroke on="f"/>
                  <v:imagedata o:title=""/>
                  <o:lock v:ext="edit" aspectratio="f"/>
                  <v:textbox inset="0mm,0mm,0mm,0mm" style="mso-fit-shape-to-text:t;">
                    <w:txbxContent>
                      <w:p>
                        <w:r>
                          <w:rPr>
                            <w:rFonts w:cs="Calibri"/>
                            <w:b/>
                            <w:bCs/>
                            <w:color w:val="000000"/>
                            <w:sz w:val="18"/>
                            <w:szCs w:val="18"/>
                          </w:rPr>
                          <w:t>-</w:t>
                        </w:r>
                      </w:p>
                    </w:txbxContent>
                  </v:textbox>
                </v:rect>
                <v:rect id="Rectangle 34" o:spid="_x0000_s1026" o:spt="1" style="position:absolute;left:2521810;top:3677090;height:287655;width:17399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BQuKIq4wEA&#10;AK0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100</w:t>
                        </w:r>
                      </w:p>
                    </w:txbxContent>
                  </v:textbox>
                </v:rect>
                <v:line id="Line 35" o:spid="_x0000_s1026" o:spt="20" style="position:absolute;left:166595;top:1871785;height:1270;width:5048885;" filled="f" stroked="t" coordsize="21600,21600" o:gfxdata="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dR9MdgAAAAKAQAADwAAAAAAAAAB&#10;ACAAAAAiAAAAZHJzL2Rvd25yZXYueG1sUEsBAhQAFAAAAAgAh07iQP8cFPvXAQAAhwMAAA4AAAAA&#10;AAAAAQAgAAAAJwEAAGRycy9lMm9Eb2MueG1sUEsFBgAAAAAGAAYAWQEAAHAFAAAAAA==&#10;">
                  <v:fill on="f" focussize="0,0"/>
                  <v:stroke weight="1.85pt" color="#4A7EBB" joinstyle="round"/>
                  <v:imagedata o:title=""/>
                  <o:lock v:ext="edit" aspectratio="f"/>
                </v:line>
                <v:line id="Line 36" o:spid="_x0000_s1026" o:spt="20" style="position:absolute;left:2647540;top:51240;flip:x y;height:3681730;width:33020;" filled="f" stroked="t" coordsize="21600,21600" o:gfxdata="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TgC9kAAAAK&#10;AQAADwAAAAAAAAABACAAAAAiAAAAZHJzL2Rvd25yZXYueG1sUEsBAhQAFAAAAAgAh07iQK+e0e/i&#10;AQAAmwMAAA4AAAAAAAAAAQAgAAAAKAEAAGRycy9lMm9Eb2MueG1sUEsFBgAAAAAGAAYAWQEAAHwF&#10;AAAAAA==&#10;">
                  <v:fill on="f" focussize="0,0"/>
                  <v:stroke weight="1.85pt" color="#4A7EBB" joinstyle="round"/>
                  <v:imagedata o:title=""/>
                  <o:lock v:ext="edit" aspectratio="f"/>
                </v:line>
                <v:rect id="Rectangle 37" o:spid="_x0000_s1026" o:spt="1" style="position:absolute;left:4732880;top:1673030;height:287655;width:40894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D0ztis4wEA&#10;AK0DAAAOAAAAAAAAAAEAIAAAACUBAABkcnMvZTJvRG9jLnhtbFBLBQYAAAAABgAGAFkBAAB6BQAA&#10;AAA=&#10;">
                  <v:fill on="f" focussize="0,0"/>
                  <v:stroke on="f"/>
                  <v:imagedata o:title=""/>
                  <o:lock v:ext="edit" aspectratio="f"/>
                  <v:textbox inset="0mm,0mm,0mm,0mm" style="mso-fit-shape-to-text:t;">
                    <w:txbxContent>
                      <w:p>
                        <w:r>
                          <w:rPr>
                            <w:rFonts w:cs="Calibri"/>
                            <w:b/>
                            <w:bCs/>
                            <w:color w:val="000000"/>
                            <w:sz w:val="18"/>
                            <w:szCs w:val="18"/>
                          </w:rPr>
                          <w:t>Strength</w:t>
                        </w:r>
                      </w:p>
                    </w:txbxContent>
                  </v:textbox>
                </v:rect>
                <v:rect id="Rectangle 38" o:spid="_x0000_s1026" o:spt="1" style="position:absolute;left:238985;top:1641280;height:287655;width:48260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DEUcjniAQAA&#10;rA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Weakness</w:t>
                        </w:r>
                      </w:p>
                    </w:txbxContent>
                  </v:textbox>
                </v:rect>
                <v:rect id="Rectangle 39" o:spid="_x0000_s1026" o:spt="1" style="position:absolute;left:2708500;top:36000;height:287655;width:58674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PtYAAAAKAQAA&#10;DwAAAAAAAAABACAAAAAiAAAAZHJzL2Rvd25yZXYueG1sUEsBAhQAFAAAAAgAh07iQGMSc/XiAQAA&#10;qwMAAA4AAAAAAAAAAQAgAAAAJQEAAGRycy9lMm9Eb2MueG1sUEsFBgAAAAAGAAYAWQEAAHkFAAAA&#10;AA==&#10;">
                  <v:fill on="f" focussize="0,0"/>
                  <v:stroke on="f"/>
                  <v:imagedata o:title=""/>
                  <o:lock v:ext="edit" aspectratio="f"/>
                  <v:textbox inset="0mm,0mm,0mm,0mm" style="mso-fit-shape-to-text:t;">
                    <w:txbxContent>
                      <w:p>
                        <w:r>
                          <w:rPr>
                            <w:rFonts w:cs="Calibri"/>
                            <w:b/>
                            <w:bCs/>
                            <w:color w:val="000000"/>
                            <w:sz w:val="18"/>
                            <w:szCs w:val="18"/>
                          </w:rPr>
                          <w:t>Opportunity</w:t>
                        </w:r>
                      </w:p>
                    </w:txbxContent>
                  </v:textbox>
                </v:rect>
                <v:rect id="Rectangle 40" o:spid="_x0000_s1026" o:spt="1" style="position:absolute;left:2796130;top:3499925;height:287655;width:31242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7eA+1gAAAAoB&#10;AAAPAAAAAAAAAAEAIAAAACIAAABkcnMvZG93bnJldi54bWxQSwECFAAUAAAACACHTuJAFSVIkeQB&#10;AACtAwAADgAAAAAAAAABACAAAAAlAQAAZHJzL2Uyb0RvYy54bWxQSwUGAAAAAAYABgBZAQAAewUA&#10;AAAA&#10;">
                  <v:fill on="f" focussize="0,0"/>
                  <v:stroke on="f"/>
                  <v:imagedata o:title=""/>
                  <o:lock v:ext="edit" aspectratio="f"/>
                  <v:textbox inset="0mm,0mm,0mm,0mm" style="mso-fit-shape-to-text:t;">
                    <w:txbxContent>
                      <w:p>
                        <w:r>
                          <w:rPr>
                            <w:rFonts w:cs="Calibri"/>
                            <w:b/>
                            <w:bCs/>
                            <w:color w:val="000000"/>
                            <w:sz w:val="18"/>
                            <w:szCs w:val="18"/>
                          </w:rPr>
                          <w:t>Threat</w:t>
                        </w:r>
                      </w:p>
                    </w:txbxContent>
                  </v:textbox>
                </v:rect>
                <v:shape id="Freeform 41" o:spid="_x0000_s1026" o:spt="100" style="position:absolute;left:2417670;top:1553650;height:157480;width:163195;" fillcolor="#FF0000" filled="t" stroked="f" coordsize="257,248" o:gfxdata="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K3WNa3ZAAAACgEAAA8AAAAAAAAAAQAgAAAAIgAAAGRycy9kb3ducmV2&#10;LnhtbFBLAQIUABQAAAAIAIdO4kDNrNmGigMAABYLAAAOAAAAAAAAAAEAIAAAACgBAABkcnMvZTJv&#10;RG9jLnhtbFBLBQYAAAAABgAGAFkBAAAkBwAAAAA=&#10;" path="m0,95l99,95,128,0,159,95,257,95,178,153,208,248,128,189,49,248,80,153,0,95xe">
                  <v:path o:connectlocs="0,60325;62865,60325;81280,0;100965,60325;163195,60325;113030,97155;132080,157480;81280,120015;31115,157480;50800,97155;0,60325" o:connectangles="0,0,0,0,0,0,0,0,0,0,0"/>
                  <v:fill on="t" focussize="0,0"/>
                  <v:stroke on="f"/>
                  <v:imagedata o:title=""/>
                  <o:lock v:ext="edit" aspectratio="f"/>
                </v:shape>
                <v:shape id="Freeform 42" o:spid="_x0000_s1026" o:spt="100" style="position:absolute;left:2417670;top:1553650;height:157480;width:163195;" filled="f" stroked="t" coordsize="257,248" o:gfxdata="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CpenpN2QAA&#10;AAoBAAAPAAAAAAAAAAEAIAAAACIAAABkcnMvZG93bnJldi54bWxQSwECFAAUAAAACACHTuJARQhz&#10;2qwDAABbCwAADgAAAAAAAAABACAAAAAoAQAAZHJzL2Uyb0RvYy54bWxQSwUGAAAAAAYABgBZAQAA&#10;RgcAAAAA&#10;" path="m0,95l99,95,128,0,159,95,257,95,178,153,208,248,128,189,49,248,80,153,0,95xe">
                  <v:path o:connectlocs="0,60325;62865,60325;81280,0;100965,60325;163195,60325;113030,97155;132080,157480;81280,120015;31115,157480;50800,97155;0,60325" o:connectangles="0,0,0,0,0,0,0,0,0,0,0"/>
                  <v:fill on="f" focussize="0,0"/>
                  <v:stroke weight="1.4pt" color="#385D8A" miterlimit="8" joinstyle="miter"/>
                  <v:imagedata o:title=""/>
                  <o:lock v:ext="edit" aspectratio="f"/>
                </v:shape>
                <v:rect id="Rectangle 43" o:spid="_x0000_s1026" o:spt="1" style="position:absolute;left:1709645;top:1405060;height:287655;width:34925;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Xt4D7WAAAACgEA&#10;AA8AAAAAAAAAAQAgAAAAIgAAAGRycy9kb3ducmV2LnhtbFBLAQIUABQAAAAIAIdO4kDP38BR4wEA&#10;AKwDAAAOAAAAAAAAAAEAIAAAACUBAABkcnMvZTJvRG9jLnhtbFBLBQYAAAAABgAGAFkBAAB6BQAA&#10;AAA=&#10;">
                  <v:fill on="f" focussize="0,0"/>
                  <v:stroke on="f"/>
                  <v:imagedata o:title=""/>
                  <o:lock v:ext="edit" aspectratio="f"/>
                  <v:textbox inset="0mm,0mm,0mm,0mm" style="mso-fit-shape-to-text:t;">
                    <w:txbxContent>
                      <w:p>
                        <w:r>
                          <w:rPr>
                            <w:rFonts w:cs="Calibri"/>
                            <w:color w:val="000000"/>
                            <w:sz w:val="18"/>
                            <w:szCs w:val="18"/>
                          </w:rPr>
                          <w:t>(</w:t>
                        </w:r>
                      </w:p>
                    </w:txbxContent>
                  </v:textbox>
                </v:rect>
                <v:rect id="Rectangle 44" o:spid="_x0000_s1026" o:spt="1" style="position:absolute;left:1744570;top:1405060;height:287655;width:3556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7eA+1gAAAAoBAAAP&#10;AAAAAAAAAAEAIAAAACIAAABkcnMvZG93bnJldi54bWxQSwECFAAUAAAACACHTuJAbW/H1OEBAACs&#10;AwAADgAAAAAAAAABACAAAAAlAQAAZHJzL2Uyb0RvYy54bWxQSwUGAAAAAAYABgBZAQAAeAUAAAAA&#10;">
                  <v:fill on="f" focussize="0,0"/>
                  <v:stroke on="f"/>
                  <v:imagedata o:title=""/>
                  <o:lock v:ext="edit" aspectratio="f"/>
                  <v:textbox inset="0mm,0mm,0mm,0mm" style="mso-fit-shape-to-text:t;">
                    <w:txbxContent>
                      <w:p>
                        <w:r>
                          <w:rPr>
                            <w:rFonts w:cs="Calibri"/>
                            <w:color w:val="000000"/>
                            <w:sz w:val="18"/>
                            <w:szCs w:val="18"/>
                          </w:rPr>
                          <w:t>-</w:t>
                        </w:r>
                      </w:p>
                    </w:txbxContent>
                  </v:textbox>
                </v:rect>
                <v:rect id="Rectangle 45" o:spid="_x0000_s1026" o:spt="1" style="position:absolute;left:1779495;top:1405060;height:287655;width:438150;mso-wrap-style:none;" filled="f" stroked="f" coordsize="21600,21600" o:gfxdata="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7eA+1gAAAAoB&#10;AAAPAAAAAAAAAAEAIAAAACIAAABkcnMvZG93bnJldi54bWxQSwECFAAUAAAACACHTuJAL6GLzuQB&#10;AACtAwAADgAAAAAAAAABACAAAAAlAQAAZHJzL2Uyb0RvYy54bWxQSwUGAAAAAAYABgBZAQAAewUA&#10;AAAA&#10;">
                  <v:fill on="f" focussize="0,0"/>
                  <v:stroke on="f"/>
                  <v:imagedata o:title=""/>
                  <o:lock v:ext="edit" aspectratio="f"/>
                  <v:textbox inset="0mm,0mm,0mm,0mm" style="mso-fit-shape-to-text:t;">
                    <w:txbxContent>
                      <w:p>
                        <w:r>
                          <w:rPr>
                            <w:rFonts w:cs="Calibri"/>
                            <w:color w:val="000000"/>
                            <w:sz w:val="18"/>
                            <w:szCs w:val="18"/>
                          </w:rPr>
                          <w:t>1,25; 3,5)</w:t>
                        </w:r>
                      </w:p>
                    </w:txbxContent>
                  </v:textbox>
                </v:rect>
                <w10:wrap type="topAndBottom"/>
              </v:group>
            </w:pict>
          </mc:Fallback>
        </mc:AlternateContent>
      </w:r>
      <w:r>
        <w:t xml:space="preserve">Gambar 4. </w:t>
      </w:r>
      <w:r>
        <w:fldChar w:fldCharType="begin"/>
      </w:r>
      <w:r>
        <w:instrText xml:space="preserve"> SEQ Gambar_4. \* ARABIC </w:instrText>
      </w:r>
      <w:r>
        <w:fldChar w:fldCharType="separate"/>
      </w:r>
      <w:r>
        <w:t>1</w:t>
      </w:r>
      <w:r>
        <w:fldChar w:fldCharType="end"/>
      </w:r>
      <w:bookmarkStart w:id="47" w:name="_Toc420775922"/>
      <w:r>
        <w:t xml:space="preserve">  </w:t>
      </w:r>
      <w:r>
        <w:rPr>
          <w:rFonts w:eastAsia="Calibri" w:cs="Arial"/>
          <w:szCs w:val="22"/>
          <w:lang w:val="sv-SE"/>
        </w:rPr>
        <w:t xml:space="preserve">Diagram Kartesian Pilihan Prioritas </w:t>
      </w:r>
      <w:r>
        <w:rPr>
          <w:szCs w:val="22"/>
        </w:rPr>
        <w:t>RSHS</w:t>
      </w:r>
      <w:r>
        <w:rPr>
          <w:color w:val="FF0000"/>
          <w:szCs w:val="22"/>
        </w:rPr>
        <w:t xml:space="preserve"> </w:t>
      </w:r>
      <w:r>
        <w:rPr>
          <w:rFonts w:eastAsia="Calibri" w:cs="Arial"/>
          <w:szCs w:val="22"/>
          <w:lang w:val="sv-SE"/>
        </w:rPr>
        <w:t>2015-2019</w:t>
      </w:r>
      <w:bookmarkEnd w:id="46"/>
      <w:bookmarkEnd w:id="47"/>
    </w:p>
    <w:p>
      <w:pPr>
        <w:rPr>
          <w:rFonts w:eastAsia="Calibri"/>
          <w:lang w:val="sv-SE"/>
        </w:rPr>
      </w:pPr>
    </w:p>
    <w:p>
      <w:pPr>
        <w:pStyle w:val="28"/>
        <w:numPr>
          <w:ilvl w:val="0"/>
          <w:numId w:val="9"/>
        </w:numPr>
        <w:ind w:left="426"/>
        <w:rPr>
          <w:b/>
          <w:i/>
        </w:rPr>
      </w:pPr>
      <w:r>
        <w:rPr>
          <w:b/>
          <w:i/>
        </w:rPr>
        <w:t xml:space="preserve">Analisa TOWS </w:t>
      </w:r>
      <w:r>
        <w:rPr>
          <w:b/>
          <w:i/>
          <w:szCs w:val="24"/>
          <w:lang w:val="id-ID"/>
        </w:rPr>
        <w:t>RSHS</w:t>
      </w:r>
    </w:p>
    <w:p>
      <w:pPr>
        <w:spacing w:line="360" w:lineRule="auto"/>
        <w:ind w:firstLine="709"/>
        <w:jc w:val="both"/>
        <w:rPr>
          <w:szCs w:val="24"/>
        </w:rPr>
      </w:pPr>
      <w:r>
        <w:rPr>
          <w:szCs w:val="24"/>
        </w:rPr>
        <w:t>Berdasarkan posisi bersaing RSHS untuk periode tahun 2015-2019, maka analisa TOWS dilakukan dengan menekankan arah strategis pada penguatan mutu kelembagaannya. Berikut disajikan hasil analisa TOWS (Tabel 4.7</w:t>
      </w:r>
      <w:r>
        <w:rPr>
          <w:szCs w:val="24"/>
          <w:lang w:val="id-ID"/>
        </w:rPr>
        <w:t xml:space="preserve"> dan Tabel </w:t>
      </w:r>
      <w:r>
        <w:rPr>
          <w:szCs w:val="24"/>
        </w:rPr>
        <w:t>4</w:t>
      </w:r>
      <w:r>
        <w:rPr>
          <w:szCs w:val="24"/>
          <w:lang w:val="id-ID"/>
        </w:rPr>
        <w:t>.8</w:t>
      </w:r>
      <w:r>
        <w:rPr>
          <w:szCs w:val="24"/>
        </w:rPr>
        <w:t>). Setiap sel matriks TOWS diisi oleh sasaran strategi yang menunjukkan prioritas strategis yang dipilih oleh RSHS</w:t>
      </w:r>
      <w:r>
        <w:rPr>
          <w:szCs w:val="24"/>
          <w:lang w:val="id-ID"/>
        </w:rPr>
        <w:t xml:space="preserve"> </w:t>
      </w:r>
      <w:r>
        <w:rPr>
          <w:szCs w:val="24"/>
        </w:rPr>
        <w:t>pada kurun waktu tahun 2015-2019 dalam menghadapi salah satu dari 4 (empat) keadaan berikut:</w:t>
      </w:r>
    </w:p>
    <w:p>
      <w:pPr>
        <w:pStyle w:val="28"/>
        <w:numPr>
          <w:ilvl w:val="0"/>
          <w:numId w:val="27"/>
        </w:numPr>
        <w:spacing w:line="360" w:lineRule="auto"/>
        <w:ind w:left="720" w:hanging="360"/>
        <w:jc w:val="both"/>
        <w:rPr>
          <w:szCs w:val="24"/>
        </w:rPr>
      </w:pPr>
      <w:r>
        <w:rPr>
          <w:szCs w:val="24"/>
        </w:rPr>
        <w:t xml:space="preserve">memanfaatkan </w:t>
      </w:r>
      <w:r>
        <w:rPr>
          <w:i/>
          <w:szCs w:val="24"/>
        </w:rPr>
        <w:t>strength</w:t>
      </w:r>
      <w:r>
        <w:rPr>
          <w:szCs w:val="24"/>
        </w:rPr>
        <w:t xml:space="preserve"> tertentu untuk menghadapi suatu </w:t>
      </w:r>
      <w:r>
        <w:rPr>
          <w:i/>
          <w:szCs w:val="24"/>
        </w:rPr>
        <w:t>threat</w:t>
      </w:r>
    </w:p>
    <w:p>
      <w:pPr>
        <w:pStyle w:val="28"/>
        <w:numPr>
          <w:ilvl w:val="0"/>
          <w:numId w:val="27"/>
        </w:numPr>
        <w:spacing w:line="360" w:lineRule="auto"/>
        <w:ind w:left="720" w:hanging="360"/>
        <w:jc w:val="both"/>
        <w:rPr>
          <w:i/>
          <w:szCs w:val="24"/>
        </w:rPr>
      </w:pPr>
      <w:r>
        <w:rPr>
          <w:szCs w:val="24"/>
        </w:rPr>
        <w:t xml:space="preserve">memanfaatkan </w:t>
      </w:r>
      <w:r>
        <w:rPr>
          <w:i/>
          <w:szCs w:val="24"/>
        </w:rPr>
        <w:t>strength</w:t>
      </w:r>
      <w:r>
        <w:rPr>
          <w:szCs w:val="24"/>
        </w:rPr>
        <w:t xml:space="preserve"> tertentu untuk menggapai </w:t>
      </w:r>
      <w:r>
        <w:rPr>
          <w:i/>
          <w:szCs w:val="24"/>
        </w:rPr>
        <w:t>opportunity</w:t>
      </w:r>
    </w:p>
    <w:p>
      <w:pPr>
        <w:pStyle w:val="28"/>
        <w:numPr>
          <w:ilvl w:val="0"/>
          <w:numId w:val="27"/>
        </w:numPr>
        <w:spacing w:line="360" w:lineRule="auto"/>
        <w:ind w:left="720" w:hanging="360"/>
        <w:jc w:val="both"/>
        <w:rPr>
          <w:szCs w:val="24"/>
        </w:rPr>
      </w:pPr>
      <w:r>
        <w:rPr>
          <w:szCs w:val="24"/>
        </w:rPr>
        <w:t>meminimasi atau meniadakan</w:t>
      </w:r>
      <w:r>
        <w:rPr>
          <w:i/>
          <w:szCs w:val="24"/>
        </w:rPr>
        <w:t xml:space="preserve"> weakness</w:t>
      </w:r>
      <w:r>
        <w:rPr>
          <w:szCs w:val="24"/>
        </w:rPr>
        <w:t xml:space="preserve"> tertentu dengan menghadapi </w:t>
      </w:r>
      <w:r>
        <w:rPr>
          <w:i/>
          <w:szCs w:val="24"/>
        </w:rPr>
        <w:t>threat</w:t>
      </w:r>
      <w:r>
        <w:rPr>
          <w:szCs w:val="24"/>
        </w:rPr>
        <w:t xml:space="preserve"> tertentu</w:t>
      </w:r>
    </w:p>
    <w:p>
      <w:pPr>
        <w:pStyle w:val="28"/>
        <w:numPr>
          <w:ilvl w:val="0"/>
          <w:numId w:val="27"/>
        </w:numPr>
        <w:spacing w:line="360" w:lineRule="auto"/>
        <w:ind w:left="720" w:hanging="360"/>
        <w:jc w:val="both"/>
        <w:rPr>
          <w:szCs w:val="24"/>
        </w:rPr>
      </w:pPr>
      <w:r>
        <w:rPr>
          <w:szCs w:val="24"/>
        </w:rPr>
        <w:t xml:space="preserve">meminimasi atau meniadakan </w:t>
      </w:r>
      <w:r>
        <w:rPr>
          <w:i/>
          <w:szCs w:val="24"/>
        </w:rPr>
        <w:t>weakness</w:t>
      </w:r>
      <w:r>
        <w:rPr>
          <w:szCs w:val="24"/>
        </w:rPr>
        <w:t xml:space="preserve"> tertentu dengan memanfaatkan </w:t>
      </w:r>
      <w:r>
        <w:rPr>
          <w:i/>
          <w:szCs w:val="24"/>
        </w:rPr>
        <w:t xml:space="preserve">opportunity </w:t>
      </w:r>
      <w:r>
        <w:rPr>
          <w:szCs w:val="24"/>
        </w:rPr>
        <w:t>tertentu</w:t>
      </w:r>
    </w:p>
    <w:p>
      <w:pPr>
        <w:spacing w:line="360" w:lineRule="auto"/>
        <w:jc w:val="both"/>
        <w:rPr>
          <w:szCs w:val="24"/>
        </w:rPr>
        <w:sectPr>
          <w:type w:val="continuous"/>
          <w:pgSz w:w="16839" w:h="11907" w:orient="landscape"/>
          <w:pgMar w:top="1440" w:right="1440" w:bottom="1440" w:left="1440" w:header="720" w:footer="202" w:gutter="0"/>
          <w:cols w:space="720" w:num="1"/>
          <w:docGrid w:linePitch="360" w:charSpace="0"/>
        </w:sectPr>
      </w:pPr>
    </w:p>
    <w:p>
      <w:pPr>
        <w:spacing w:line="360" w:lineRule="auto"/>
        <w:jc w:val="both"/>
        <w:rPr>
          <w:szCs w:val="24"/>
        </w:rPr>
        <w:sectPr>
          <w:type w:val="continuous"/>
          <w:pgSz w:w="16839" w:h="11907" w:orient="landscape"/>
          <w:pgMar w:top="1440" w:right="1440" w:bottom="1440" w:left="1440" w:header="720" w:footer="202" w:gutter="0"/>
          <w:cols w:space="720" w:num="2"/>
          <w:docGrid w:linePitch="360" w:charSpace="0"/>
        </w:sectPr>
      </w:pPr>
    </w:p>
    <w:p>
      <w:pPr>
        <w:spacing w:after="0" w:line="240" w:lineRule="auto"/>
        <w:rPr>
          <w:b/>
          <w:bCs/>
          <w:color w:val="FF0000"/>
          <w:szCs w:val="18"/>
        </w:rPr>
      </w:pPr>
      <w:bookmarkStart w:id="48" w:name="_Toc426658405"/>
      <w:r>
        <w:br w:type="page"/>
      </w:r>
    </w:p>
    <w:p>
      <w:pPr>
        <w:pStyle w:val="9"/>
        <w:keepNext/>
        <w:rPr>
          <w:szCs w:val="24"/>
          <w:lang w:val="id-ID"/>
        </w:rPr>
      </w:pPr>
      <w:bookmarkStart w:id="49" w:name="_Toc430523104"/>
      <w:r>
        <w:t xml:space="preserve">Tabel 4. </w:t>
      </w:r>
      <w:r>
        <w:fldChar w:fldCharType="begin"/>
      </w:r>
      <w:r>
        <w:instrText xml:space="preserve"> SEQ Tabel_4. \* ARABIC </w:instrText>
      </w:r>
      <w:r>
        <w:fldChar w:fldCharType="separate"/>
      </w:r>
      <w:r>
        <w:t>7</w:t>
      </w:r>
      <w:r>
        <w:fldChar w:fldCharType="end"/>
      </w:r>
      <w:r>
        <w:rPr>
          <w:lang w:val="id-ID"/>
        </w:rPr>
        <w:t xml:space="preserve"> </w:t>
      </w:r>
      <w:r>
        <w:rPr>
          <w:szCs w:val="24"/>
        </w:rPr>
        <w:t>Hasil Analisis TOWS</w:t>
      </w:r>
      <w:r>
        <w:rPr>
          <w:szCs w:val="24"/>
          <w:lang w:val="id-ID"/>
        </w:rPr>
        <w:t xml:space="preserve"> (Strategi </w:t>
      </w:r>
      <w:r>
        <w:rPr>
          <w:szCs w:val="24"/>
        </w:rPr>
        <w:t>SO</w:t>
      </w:r>
      <w:r>
        <w:rPr>
          <w:szCs w:val="24"/>
          <w:lang w:val="id-ID"/>
        </w:rPr>
        <w:t>)</w:t>
      </w:r>
      <w:bookmarkEnd w:id="48"/>
      <w:r>
        <w:rPr>
          <w:szCs w:val="24"/>
          <w:lang w:val="id-ID"/>
        </w:rPr>
        <w:t xml:space="preserve"> RSHS</w:t>
      </w:r>
      <w:bookmarkEnd w:id="49"/>
    </w:p>
    <w:tbl>
      <w:tblPr>
        <w:tblStyle w:val="27"/>
        <w:tblW w:w="135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7"/>
        <w:gridCol w:w="7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restart"/>
            <w:vAlign w:val="center"/>
          </w:tcPr>
          <w:p>
            <w:pPr>
              <w:keepNext/>
              <w:spacing w:after="0" w:line="240" w:lineRule="auto"/>
              <w:jc w:val="center"/>
              <w:rPr>
                <w:rFonts w:eastAsia="Calibri"/>
                <w:szCs w:val="24"/>
              </w:rPr>
            </w:pPr>
            <w:r>
              <w:rPr>
                <w:rFonts w:eastAsia="Calibri"/>
                <w:szCs w:val="24"/>
              </w:rPr>
              <w:t>Analisis TOWS untuk mendapatka pilihan strategi</w:t>
            </w:r>
          </w:p>
        </w:tc>
        <w:tc>
          <w:tcPr>
            <w:tcW w:w="7030" w:type="dxa"/>
            <w:shd w:val="clear" w:color="auto" w:fill="259073" w:themeFill="accent2"/>
            <w:vAlign w:val="center"/>
          </w:tcPr>
          <w:p>
            <w:pPr>
              <w:keepNext/>
              <w:spacing w:after="0" w:line="240" w:lineRule="auto"/>
              <w:rPr>
                <w:rFonts w:eastAsia="Calibri"/>
                <w:szCs w:val="24"/>
              </w:rPr>
            </w:pPr>
            <w:r>
              <w:rPr>
                <w:rFonts w:eastAsia="Calibri"/>
                <w:szCs w:val="24"/>
              </w:rPr>
              <w:t>Peluang</w:t>
            </w:r>
            <w:r>
              <w:rPr>
                <w:rFonts w:eastAsia="Calibri"/>
                <w:szCs w:val="24"/>
                <w:lang w:val="id-ID"/>
              </w:rPr>
              <w:t xml:space="preserve"> </w:t>
            </w:r>
            <w:r>
              <w:rPr>
                <w:rFonts w:eastAsia="Calibri"/>
                <w:szCs w:val="24"/>
              </w:rPr>
              <w:t>(</w:t>
            </w:r>
            <w:r>
              <w:rPr>
                <w:rFonts w:eastAsia="Calibri"/>
                <w:i/>
                <w:szCs w:val="24"/>
              </w:rPr>
              <w:t>Opportunities</w:t>
            </w:r>
            <w:r>
              <w:rPr>
                <w:rFonts w:eastAsia="Calibri"/>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lang w:val="id-ID"/>
              </w:rPr>
            </w:pPr>
            <w:r>
              <w:rPr>
                <w:rFonts w:eastAsia="Calibri"/>
                <w:szCs w:val="24"/>
              </w:rPr>
              <w:t>1.   JKN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lang w:val="id-ID"/>
              </w:rPr>
            </w:pPr>
            <w:r>
              <w:rPr>
                <w:rFonts w:eastAsia="Calibri"/>
                <w:szCs w:val="24"/>
              </w:rPr>
              <w:t xml:space="preserve">2.   Kerjasama internasional (termasuk </w:t>
            </w:r>
            <w:r>
              <w:rPr>
                <w:rFonts w:eastAsia="Calibri"/>
                <w:i/>
                <w:szCs w:val="24"/>
              </w:rPr>
              <w:t>sister hospital</w:t>
            </w:r>
            <w:r>
              <w:rPr>
                <w:rFonts w:eastAsia="Calibri"/>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3</w:t>
            </w:r>
            <w:r>
              <w:rPr>
                <w:rFonts w:eastAsia="Calibri"/>
                <w:szCs w:val="24"/>
              </w:rPr>
              <w:t>.   Kondisi demografis Jawa Barat (penduduk yang banyak)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4</w:t>
            </w:r>
            <w:r>
              <w:rPr>
                <w:rFonts w:eastAsia="Calibri"/>
                <w:szCs w:val="24"/>
              </w:rPr>
              <w:t>.   Dukungan regulasi: UU Dikdok, kewajiban publikasi, sistem remunerasi, sistem kontrak kinerja SKP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5</w:t>
            </w:r>
            <w:r>
              <w:rPr>
                <w:rFonts w:eastAsia="Calibri"/>
                <w:szCs w:val="24"/>
              </w:rPr>
              <w:t>.   Dukungan Pemda Kab/Kota dan Pemprov Jawa Barat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6</w:t>
            </w:r>
            <w:r>
              <w:rPr>
                <w:rFonts w:eastAsia="Calibri"/>
                <w:szCs w:val="24"/>
              </w:rPr>
              <w:t>.   Dukungan sebagai RS Rujukan Nasional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7</w:t>
            </w:r>
            <w:r>
              <w:rPr>
                <w:rFonts w:eastAsia="Calibri"/>
                <w:szCs w:val="24"/>
              </w:rPr>
              <w:t>.   Perkembangan teknologi kesehatan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vAlign w:val="center"/>
          </w:tcPr>
          <w:p>
            <w:pPr>
              <w:keepNext/>
              <w:tabs>
                <w:tab w:val="left" w:pos="720"/>
              </w:tabs>
              <w:spacing w:after="0" w:line="240" w:lineRule="auto"/>
              <w:ind w:left="360" w:hanging="360"/>
              <w:rPr>
                <w:rFonts w:eastAsia="Calibri"/>
                <w:szCs w:val="24"/>
              </w:rPr>
            </w:pPr>
            <w:r>
              <w:rPr>
                <w:rFonts w:eastAsia="Calibri"/>
                <w:szCs w:val="24"/>
                <w:lang w:val="id-ID"/>
              </w:rPr>
              <w:t>8</w:t>
            </w:r>
            <w:r>
              <w:rPr>
                <w:rFonts w:eastAsia="Calibri"/>
                <w:szCs w:val="24"/>
                <w:lang w:val="fi-FI"/>
              </w:rPr>
              <w:t>.   Peningkatan kesadaran masyarakat terhadap kesehatan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shd w:val="clear" w:color="auto" w:fill="259073"/>
            <w:vAlign w:val="center"/>
          </w:tcPr>
          <w:p>
            <w:pPr>
              <w:keepNext/>
              <w:spacing w:after="0" w:line="240" w:lineRule="auto"/>
              <w:rPr>
                <w:rFonts w:eastAsia="Calibri"/>
                <w:szCs w:val="24"/>
              </w:rPr>
            </w:pPr>
            <w:r>
              <w:rPr>
                <w:rFonts w:eastAsia="Calibri"/>
                <w:szCs w:val="24"/>
              </w:rPr>
              <w:t>Kekuatan(</w:t>
            </w:r>
            <w:r>
              <w:rPr>
                <w:rFonts w:eastAsia="Calibri"/>
                <w:i/>
                <w:szCs w:val="24"/>
              </w:rPr>
              <w:t>Strength</w:t>
            </w:r>
            <w:r>
              <w:rPr>
                <w:rFonts w:eastAsia="Calibri"/>
                <w:szCs w:val="24"/>
              </w:rPr>
              <w:t>)</w:t>
            </w:r>
          </w:p>
        </w:tc>
        <w:tc>
          <w:tcPr>
            <w:tcW w:w="7030" w:type="dxa"/>
            <w:shd w:val="clear" w:color="auto" w:fill="EBCC6E"/>
            <w:vAlign w:val="center"/>
          </w:tcPr>
          <w:p>
            <w:pPr>
              <w:keepNext/>
              <w:spacing w:after="0" w:line="240" w:lineRule="auto"/>
              <w:jc w:val="center"/>
              <w:rPr>
                <w:rFonts w:eastAsia="Calibri"/>
                <w:b/>
                <w:szCs w:val="24"/>
                <w:lang w:val="fi-FI"/>
              </w:rPr>
            </w:pPr>
            <w:r>
              <w:rPr>
                <w:rFonts w:eastAsia="Calibri"/>
                <w:b/>
                <w:szCs w:val="24"/>
                <w:lang w:val="fi-FI"/>
              </w:rPr>
              <w:t>Strategi SO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i/>
                <w:szCs w:val="24"/>
              </w:rPr>
            </w:pPr>
            <w:r>
              <w:rPr>
                <w:rFonts w:eastAsia="Calibri"/>
                <w:szCs w:val="24"/>
              </w:rPr>
              <w:t>1.    Sudah memiliki 133 layanan sub-spesialistik</w:t>
            </w:r>
          </w:p>
        </w:tc>
        <w:tc>
          <w:tcPr>
            <w:tcW w:w="7030" w:type="dxa"/>
            <w:vAlign w:val="center"/>
          </w:tcPr>
          <w:p>
            <w:pPr>
              <w:spacing w:after="0" w:line="240" w:lineRule="auto"/>
              <w:jc w:val="center"/>
              <w:rPr>
                <w:rFonts w:eastAsia="Calibri"/>
                <w:szCs w:val="24"/>
                <w:lang w:val="fi-FI"/>
              </w:rPr>
            </w:pPr>
            <w:r>
              <w:rPr>
                <w:rFonts w:eastAsia="Calibri"/>
                <w:szCs w:val="24"/>
                <w:lang w:val="fi-FI"/>
              </w:rPr>
              <w:t xml:space="preserve">S1, S3, S5, O1: Pengembangan layanan unggulan (kedokteran nuklir, &amp; pencitraan molekuler, jantung terpadu, onkologi, infeksi, bedah minimal </w:t>
            </w:r>
            <w:r>
              <w:rPr>
                <w:rFonts w:eastAsia="Calibri"/>
                <w:i/>
                <w:szCs w:val="24"/>
                <w:lang w:val="fi-FI"/>
              </w:rPr>
              <w:t>invasive</w:t>
            </w:r>
            <w:r>
              <w:rPr>
                <w:rFonts w:eastAsia="Calibri"/>
                <w:szCs w:val="24"/>
                <w:lang w:val="fi-FI"/>
              </w:rPr>
              <w:t>, transplantasi ginjal)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2.    Ragam kasus yang tinggi (untuk pendidikan dan penelitian)</w:t>
            </w:r>
          </w:p>
        </w:tc>
        <w:tc>
          <w:tcPr>
            <w:tcW w:w="7030" w:type="dxa"/>
            <w:vAlign w:val="center"/>
          </w:tcPr>
          <w:p>
            <w:pPr>
              <w:spacing w:after="0" w:line="240" w:lineRule="auto"/>
              <w:jc w:val="center"/>
              <w:rPr>
                <w:rFonts w:eastAsia="Calibri"/>
                <w:i/>
                <w:szCs w:val="24"/>
                <w:lang w:val="fi-FI"/>
              </w:rPr>
            </w:pPr>
            <w:r>
              <w:rPr>
                <w:rFonts w:eastAsia="Calibri"/>
                <w:szCs w:val="24"/>
                <w:lang w:val="fi-FI"/>
              </w:rPr>
              <w:t xml:space="preserve">S1, S3, O1, O6: pengembangan sistem jejaring kesehatan berjenjang bermodel </w:t>
            </w:r>
            <w:r>
              <w:rPr>
                <w:rFonts w:eastAsia="Calibri"/>
                <w:i/>
                <w:szCs w:val="24"/>
                <w:lang w:val="fi-FI"/>
              </w:rPr>
              <w:t>franchise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3.    SDM dokter 325 tenaga subspesialistik</w:t>
            </w:r>
          </w:p>
        </w:tc>
        <w:tc>
          <w:tcPr>
            <w:tcW w:w="7030" w:type="dxa"/>
            <w:vAlign w:val="center"/>
          </w:tcPr>
          <w:p>
            <w:pPr>
              <w:spacing w:after="0" w:line="240" w:lineRule="auto"/>
              <w:jc w:val="center"/>
              <w:rPr>
                <w:rFonts w:eastAsia="Calibri"/>
                <w:szCs w:val="24"/>
                <w:lang w:val="fi-F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4.    Jumlah PPDS 1300 orang</w:t>
            </w:r>
          </w:p>
        </w:tc>
        <w:tc>
          <w:tcPr>
            <w:tcW w:w="7030" w:type="dxa"/>
            <w:vAlign w:val="center"/>
          </w:tcPr>
          <w:p>
            <w:pPr>
              <w:spacing w:after="0" w:line="240" w:lineRule="auto"/>
              <w:jc w:val="center"/>
              <w:rPr>
                <w:rFonts w:eastAsia="Calibri"/>
                <w:szCs w:val="24"/>
                <w:lang w:val="fi-F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5.    Sudah memiliki layanan unggulan dalam kedokteran nuklir</w:t>
            </w:r>
          </w:p>
        </w:tc>
        <w:tc>
          <w:tcPr>
            <w:tcW w:w="7030" w:type="dxa"/>
            <w:vAlign w:val="center"/>
          </w:tcPr>
          <w:p>
            <w:pPr>
              <w:spacing w:after="0" w:line="240" w:lineRule="auto"/>
              <w:jc w:val="center"/>
              <w:rPr>
                <w:rFonts w:eastAsia="Calibri"/>
                <w:szCs w:val="24"/>
                <w:lang w:val="fi-F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6.    Sudah memiliki jaringan kemitraan (</w:t>
            </w:r>
            <w:r>
              <w:rPr>
                <w:rFonts w:eastAsia="Calibri"/>
                <w:i/>
                <w:szCs w:val="24"/>
              </w:rPr>
              <w:t>network hospital</w:t>
            </w:r>
            <w:r>
              <w:rPr>
                <w:rFonts w:eastAsia="Calibri"/>
                <w:szCs w:val="24"/>
              </w:rPr>
              <w:t>, dll)</w:t>
            </w:r>
          </w:p>
        </w:tc>
        <w:tc>
          <w:tcPr>
            <w:tcW w:w="7030" w:type="dxa"/>
            <w:vAlign w:val="center"/>
          </w:tcPr>
          <w:p>
            <w:pPr>
              <w:spacing w:after="0" w:line="240" w:lineRule="auto"/>
              <w:jc w:val="center"/>
              <w:rPr>
                <w:rFonts w:eastAsia="Calibri"/>
                <w:szCs w:val="24"/>
                <w:lang w:val="fi-FI"/>
              </w:rPr>
            </w:pPr>
          </w:p>
        </w:tc>
      </w:tr>
    </w:tbl>
    <w:p>
      <w:pPr>
        <w:rPr>
          <w:lang w:val="id-ID"/>
        </w:rPr>
      </w:pPr>
    </w:p>
    <w:p>
      <w:pPr>
        <w:rPr>
          <w:lang w:val="id-ID"/>
        </w:rPr>
      </w:pPr>
    </w:p>
    <w:p/>
    <w:p/>
    <w:p>
      <w:pPr>
        <w:pStyle w:val="9"/>
        <w:rPr>
          <w:szCs w:val="24"/>
          <w:lang w:val="id-ID"/>
        </w:rPr>
      </w:pPr>
      <w:bookmarkStart w:id="50" w:name="_Toc426658406"/>
      <w:bookmarkStart w:id="51" w:name="_Toc430523105"/>
      <w:r>
        <w:t xml:space="preserve">Tabel 4. </w:t>
      </w:r>
      <w:r>
        <w:fldChar w:fldCharType="begin"/>
      </w:r>
      <w:r>
        <w:instrText xml:space="preserve"> SEQ Tabel_4. \* ARABIC </w:instrText>
      </w:r>
      <w:r>
        <w:fldChar w:fldCharType="separate"/>
      </w:r>
      <w:r>
        <w:t>8</w:t>
      </w:r>
      <w:r>
        <w:fldChar w:fldCharType="end"/>
      </w:r>
      <w:r>
        <w:t xml:space="preserve"> </w:t>
      </w:r>
      <w:r>
        <w:rPr>
          <w:szCs w:val="24"/>
        </w:rPr>
        <w:t>Hasil Analisis TOWS</w:t>
      </w:r>
      <w:r>
        <w:rPr>
          <w:szCs w:val="24"/>
          <w:lang w:val="id-ID"/>
        </w:rPr>
        <w:t xml:space="preserve"> (Strategi </w:t>
      </w:r>
      <w:r>
        <w:rPr>
          <w:szCs w:val="24"/>
        </w:rPr>
        <w:t>ST</w:t>
      </w:r>
      <w:r>
        <w:rPr>
          <w:szCs w:val="24"/>
          <w:lang w:val="id-ID"/>
        </w:rPr>
        <w:t>)</w:t>
      </w:r>
      <w:bookmarkEnd w:id="50"/>
      <w:r>
        <w:rPr>
          <w:szCs w:val="24"/>
          <w:lang w:val="id-ID"/>
        </w:rPr>
        <w:t xml:space="preserve"> RSHS</w:t>
      </w:r>
      <w:bookmarkEnd w:id="51"/>
    </w:p>
    <w:tbl>
      <w:tblPr>
        <w:tblStyle w:val="27"/>
        <w:tblW w:w="135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7"/>
        <w:gridCol w:w="7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restart"/>
            <w:vAlign w:val="center"/>
          </w:tcPr>
          <w:p>
            <w:pPr>
              <w:keepNext/>
              <w:spacing w:after="0" w:line="240" w:lineRule="auto"/>
              <w:jc w:val="center"/>
              <w:rPr>
                <w:rFonts w:eastAsia="Calibri"/>
                <w:szCs w:val="24"/>
              </w:rPr>
            </w:pPr>
            <w:r>
              <w:rPr>
                <w:rFonts w:eastAsia="Calibri"/>
                <w:szCs w:val="24"/>
              </w:rPr>
              <w:t>Analisis TOWS untuk mendapatka pilihan strategi</w:t>
            </w:r>
          </w:p>
        </w:tc>
        <w:tc>
          <w:tcPr>
            <w:tcW w:w="7030" w:type="dxa"/>
            <w:shd w:val="clear" w:color="auto" w:fill="259073" w:themeFill="accent2"/>
          </w:tcPr>
          <w:p>
            <w:pPr>
              <w:keepNext/>
              <w:spacing w:after="0" w:line="240" w:lineRule="auto"/>
              <w:rPr>
                <w:rFonts w:eastAsia="Calibri"/>
                <w:szCs w:val="24"/>
              </w:rPr>
            </w:pPr>
            <w:r>
              <w:rPr>
                <w:rFonts w:eastAsia="Calibri"/>
              </w:rPr>
              <w:t>Ancaman  (</w:t>
            </w:r>
            <w:r>
              <w:rPr>
                <w:rFonts w:eastAsia="Calibri"/>
                <w:i/>
              </w:rPr>
              <w:t>Threat</w:t>
            </w:r>
            <w:r>
              <w:rPr>
                <w:rFonts w:eastAsia="Calibri"/>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lang w:val="id-ID"/>
              </w:rPr>
            </w:pPr>
            <w:r>
              <w:rPr>
                <w:rFonts w:eastAsia="Calibri"/>
              </w:rPr>
              <w:t>1.    Diberlakukannya MEA (Masyarakat Ekonomi Asean)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lang w:val="id-ID"/>
              </w:rPr>
            </w:pPr>
            <w:r>
              <w:rPr>
                <w:rFonts w:eastAsia="Calibri"/>
              </w:rPr>
              <w:t xml:space="preserve">2.    Keberadaan jaringan institusi lain sebagai  </w:t>
            </w:r>
            <w:r>
              <w:rPr>
                <w:rFonts w:eastAsia="Calibri"/>
                <w:lang w:val="id-ID"/>
              </w:rPr>
              <w:t>kompetitor</w:t>
            </w:r>
            <w:r>
              <w:rPr>
                <w:rFonts w:eastAsia="Calibri"/>
              </w:rPr>
              <w:t xml:space="preserve"> yang memberikan daya  </w:t>
            </w:r>
            <w:r>
              <w:rPr>
                <w:rFonts w:eastAsia="Calibri"/>
                <w:lang w:val="id-ID"/>
              </w:rPr>
              <w:t>saing</w:t>
            </w:r>
            <w:r>
              <w:rPr>
                <w:rFonts w:eastAsia="Calibri"/>
              </w:rPr>
              <w:t xml:space="preserve"> yang lebih bagi pasien dan calon staf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rPr>
            </w:pPr>
            <w:r>
              <w:rPr>
                <w:rFonts w:eastAsia="Calibri"/>
              </w:rPr>
              <w:t>3.    Ketidakpastian dukungan dana pemerintah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rPr>
            </w:pPr>
            <w:r>
              <w:rPr>
                <w:rFonts w:eastAsia="Calibri"/>
              </w:rPr>
              <w:t xml:space="preserve">4.    Semakin terbukanya informasi dan meningkatnya kesadaran  </w:t>
            </w:r>
            <w:r>
              <w:rPr>
                <w:rFonts w:eastAsia="Calibri"/>
                <w:lang w:val="id-ID"/>
              </w:rPr>
              <w:t>hukum</w:t>
            </w:r>
            <w:r>
              <w:rPr>
                <w:rFonts w:eastAsia="Calibri"/>
              </w:rPr>
              <w:t xml:space="preserve"> pasien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rPr>
            </w:pPr>
            <w:r>
              <w:rPr>
                <w:rFonts w:eastAsia="Calibri"/>
              </w:rPr>
              <w:t>5.    Ketergantungan kepada suplier (obat dan alat kesehatan)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rPr>
            </w:pPr>
            <w:r>
              <w:rPr>
                <w:rFonts w:eastAsia="Calibri"/>
              </w:rPr>
              <w:t>6.   Perubahan regulasi dan kompleksitas regulator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Merge w:val="continue"/>
            <w:vAlign w:val="center"/>
          </w:tcPr>
          <w:p>
            <w:pPr>
              <w:keepNext/>
              <w:spacing w:after="0" w:line="240" w:lineRule="auto"/>
              <w:rPr>
                <w:rFonts w:eastAsia="Calibri"/>
                <w:szCs w:val="24"/>
                <w:lang w:val="id-ID"/>
              </w:rPr>
            </w:pPr>
          </w:p>
        </w:tc>
        <w:tc>
          <w:tcPr>
            <w:tcW w:w="7030" w:type="dxa"/>
          </w:tcPr>
          <w:p>
            <w:pPr>
              <w:keepNext/>
              <w:tabs>
                <w:tab w:val="left" w:pos="720"/>
              </w:tabs>
              <w:spacing w:after="0" w:line="240" w:lineRule="auto"/>
              <w:ind w:left="360" w:hanging="360"/>
              <w:rPr>
                <w:rFonts w:eastAsia="Calibri"/>
                <w:szCs w:val="24"/>
              </w:rPr>
            </w:pPr>
            <w:r>
              <w:rPr>
                <w:rFonts w:eastAsia="Calibri"/>
              </w:rPr>
              <w:t>7.   Ketidakstabilan nilai tukar rupiah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shd w:val="clear" w:color="auto" w:fill="259073" w:themeFill="accent2"/>
            <w:vAlign w:val="center"/>
          </w:tcPr>
          <w:p>
            <w:pPr>
              <w:keepNext/>
              <w:spacing w:after="0" w:line="240" w:lineRule="auto"/>
              <w:rPr>
                <w:rFonts w:eastAsia="Calibri"/>
                <w:szCs w:val="24"/>
              </w:rPr>
            </w:pPr>
            <w:r>
              <w:rPr>
                <w:rFonts w:eastAsia="Calibri"/>
                <w:szCs w:val="24"/>
              </w:rPr>
              <w:t>Kekuatan (</w:t>
            </w:r>
            <w:r>
              <w:rPr>
                <w:rFonts w:eastAsia="Calibri"/>
                <w:i/>
                <w:szCs w:val="24"/>
              </w:rPr>
              <w:t>Strength</w:t>
            </w:r>
            <w:r>
              <w:rPr>
                <w:rFonts w:eastAsia="Calibri"/>
                <w:szCs w:val="24"/>
              </w:rPr>
              <w:t>)</w:t>
            </w:r>
          </w:p>
        </w:tc>
        <w:tc>
          <w:tcPr>
            <w:tcW w:w="7030" w:type="dxa"/>
            <w:shd w:val="clear" w:color="auto" w:fill="EBCC6E"/>
            <w:vAlign w:val="center"/>
          </w:tcPr>
          <w:p>
            <w:pPr>
              <w:keepNext/>
              <w:spacing w:after="0" w:line="240" w:lineRule="auto"/>
              <w:jc w:val="center"/>
              <w:rPr>
                <w:rFonts w:eastAsia="Calibri"/>
                <w:b/>
                <w:szCs w:val="24"/>
                <w:lang w:val="fi-FI"/>
              </w:rPr>
            </w:pPr>
            <w:r>
              <w:rPr>
                <w:rFonts w:eastAsia="Calibri"/>
                <w:b/>
                <w:szCs w:val="24"/>
                <w:lang w:val="fi-FI"/>
              </w:rPr>
              <w:t>Strategi 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i/>
                <w:szCs w:val="24"/>
              </w:rPr>
            </w:pPr>
            <w:r>
              <w:rPr>
                <w:rFonts w:eastAsia="Calibri"/>
                <w:szCs w:val="24"/>
              </w:rPr>
              <w:t>1.    Sudah memiliki 133 layanan sub-spesialistik</w:t>
            </w:r>
          </w:p>
        </w:tc>
        <w:tc>
          <w:tcPr>
            <w:tcW w:w="7030" w:type="dxa"/>
            <w:vAlign w:val="center"/>
          </w:tcPr>
          <w:p>
            <w:pPr>
              <w:spacing w:after="0" w:line="240" w:lineRule="auto"/>
              <w:jc w:val="center"/>
              <w:rPr>
                <w:rFonts w:eastAsia="Calibri"/>
                <w:szCs w:val="24"/>
                <w:lang w:val="fi-FI"/>
              </w:rPr>
            </w:pPr>
            <w:r>
              <w:rPr>
                <w:rFonts w:eastAsia="Calibri"/>
                <w:szCs w:val="24"/>
                <w:lang w:val="fi-FI"/>
              </w:rPr>
              <w:t xml:space="preserve">S1, S2, T1, T2: Menjadi </w:t>
            </w:r>
            <w:r>
              <w:rPr>
                <w:rFonts w:eastAsia="Calibri"/>
                <w:i/>
                <w:szCs w:val="24"/>
                <w:lang w:val="fi-FI"/>
              </w:rPr>
              <w:t xml:space="preserve">venue </w:t>
            </w:r>
            <w:r>
              <w:rPr>
                <w:rFonts w:eastAsia="Calibri"/>
                <w:szCs w:val="24"/>
                <w:lang w:val="fi-FI"/>
              </w:rPr>
              <w:t xml:space="preserve">untuk </w:t>
            </w:r>
            <w:r>
              <w:rPr>
                <w:rFonts w:eastAsia="Calibri"/>
                <w:i/>
                <w:szCs w:val="24"/>
                <w:lang w:val="fi-FI"/>
              </w:rPr>
              <w:t xml:space="preserve">event </w:t>
            </w:r>
            <w:r>
              <w:rPr>
                <w:rFonts w:eastAsia="Calibri"/>
                <w:szCs w:val="24"/>
                <w:lang w:val="fi-FI"/>
              </w:rPr>
              <w:t>kesehatan nasional dan internasional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2.    Ragam kasus yang tinggi (untuk pendidikan dan penelitian)</w:t>
            </w:r>
          </w:p>
        </w:tc>
        <w:tc>
          <w:tcPr>
            <w:tcW w:w="7030" w:type="dxa"/>
            <w:vAlign w:val="center"/>
          </w:tcPr>
          <w:p>
            <w:pPr>
              <w:spacing w:after="0" w:line="240" w:lineRule="auto"/>
              <w:jc w:val="center"/>
              <w:rPr>
                <w:rFonts w:eastAsia="Calibri"/>
                <w:szCs w:val="24"/>
                <w:lang w:val="fi-FI"/>
              </w:rPr>
            </w:pPr>
            <w:r>
              <w:rPr>
                <w:rFonts w:eastAsia="Calibri"/>
                <w:szCs w:val="24"/>
                <w:lang w:val="fi-FI"/>
              </w:rPr>
              <w:t>S2, S5, S6, T3: Membangun kemandirian finansial dengan bekerjasama bermodel korporasi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3.    SDM dokter 325 tenaga subspesialistik</w:t>
            </w:r>
          </w:p>
        </w:tc>
        <w:tc>
          <w:tcPr>
            <w:tcW w:w="7030" w:type="dxa"/>
            <w:vAlign w:val="center"/>
          </w:tcPr>
          <w:p>
            <w:pPr>
              <w:spacing w:after="0" w:line="240" w:lineRule="auto"/>
              <w:jc w:val="center"/>
              <w:rPr>
                <w:rFonts w:eastAsia="Calibri"/>
                <w:i/>
                <w:szCs w:val="24"/>
                <w:lang w:val="fi-FI"/>
              </w:rPr>
            </w:pPr>
            <w:r>
              <w:rPr>
                <w:rFonts w:eastAsia="Calibri"/>
                <w:szCs w:val="24"/>
                <w:lang w:val="fi-FI"/>
              </w:rPr>
              <w:t xml:space="preserve">S1, S3, T4: Layanan </w:t>
            </w:r>
            <w:r>
              <w:rPr>
                <w:rFonts w:eastAsia="Calibri"/>
                <w:i/>
                <w:szCs w:val="24"/>
                <w:lang w:val="fi-FI"/>
              </w:rPr>
              <w:t>community health awareness</w:t>
            </w:r>
            <w:r>
              <w:rPr>
                <w:rFonts w:eastAsia="Calibri"/>
                <w:szCs w:val="24"/>
                <w:lang w:val="fi-FI"/>
              </w:rPr>
              <w:t>/</w:t>
            </w:r>
            <w:r>
              <w:rPr>
                <w:rFonts w:eastAsia="Calibri"/>
                <w:i/>
                <w:szCs w:val="24"/>
                <w:lang w:val="fi-FI"/>
              </w:rPr>
              <w:t>literacy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4.    Jumlah PPDS 1300 orang</w:t>
            </w:r>
          </w:p>
        </w:tc>
        <w:tc>
          <w:tcPr>
            <w:tcW w:w="7030" w:type="dxa"/>
            <w:vAlign w:val="center"/>
          </w:tcPr>
          <w:p>
            <w:pPr>
              <w:spacing w:after="0" w:line="240" w:lineRule="auto"/>
              <w:jc w:val="center"/>
              <w:rPr>
                <w:rFonts w:eastAsia="Calibri"/>
                <w:szCs w:val="24"/>
                <w:lang w:val="fi-FI"/>
              </w:rPr>
            </w:pPr>
            <w:r>
              <w:rPr>
                <w:rFonts w:eastAsia="Calibri"/>
                <w:szCs w:val="24"/>
                <w:lang w:val="fi-FI"/>
              </w:rPr>
              <w:t xml:space="preserve">S3, S6, T5: Kerja sama strategis dengan </w:t>
            </w:r>
            <w:r>
              <w:rPr>
                <w:rFonts w:eastAsia="Calibri"/>
                <w:i/>
                <w:szCs w:val="24"/>
                <w:lang w:val="fi-FI"/>
              </w:rPr>
              <w:t>supplier</w:t>
            </w:r>
            <w:r>
              <w:rPr>
                <w:rFonts w:eastAsia="Calibri"/>
                <w:szCs w:val="24"/>
                <w:lang w:val="fi-FI"/>
              </w:rPr>
              <w:t>, jejaring RS dalam peralatan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5.    Sudah memiliki layanan unggulan dalam kedokteran nuklir</w:t>
            </w:r>
          </w:p>
        </w:tc>
        <w:tc>
          <w:tcPr>
            <w:tcW w:w="7030" w:type="dxa"/>
            <w:vAlign w:val="center"/>
          </w:tcPr>
          <w:p>
            <w:pPr>
              <w:spacing w:after="0" w:line="240" w:lineRule="auto"/>
              <w:jc w:val="center"/>
              <w:rPr>
                <w:rFonts w:eastAsia="Calibri"/>
                <w:szCs w:val="24"/>
                <w:lang w:val="fi-F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6487" w:type="dxa"/>
            <w:vAlign w:val="center"/>
          </w:tcPr>
          <w:p>
            <w:pPr>
              <w:spacing w:after="0" w:line="240" w:lineRule="auto"/>
              <w:ind w:left="360" w:hanging="360"/>
              <w:rPr>
                <w:rFonts w:eastAsia="Calibri"/>
                <w:szCs w:val="24"/>
              </w:rPr>
            </w:pPr>
            <w:r>
              <w:rPr>
                <w:rFonts w:eastAsia="Calibri"/>
                <w:szCs w:val="24"/>
              </w:rPr>
              <w:t>6.    Sudah memiliki jaringan kemitraan (</w:t>
            </w:r>
            <w:r>
              <w:rPr>
                <w:rFonts w:eastAsia="Calibri"/>
                <w:i/>
                <w:szCs w:val="24"/>
              </w:rPr>
              <w:t>network hospital</w:t>
            </w:r>
            <w:r>
              <w:rPr>
                <w:rFonts w:eastAsia="Calibri"/>
                <w:szCs w:val="24"/>
              </w:rPr>
              <w:t>, dll)</w:t>
            </w:r>
          </w:p>
        </w:tc>
        <w:tc>
          <w:tcPr>
            <w:tcW w:w="7030" w:type="dxa"/>
            <w:vAlign w:val="center"/>
          </w:tcPr>
          <w:p>
            <w:pPr>
              <w:spacing w:after="0" w:line="240" w:lineRule="auto"/>
              <w:jc w:val="center"/>
              <w:rPr>
                <w:rFonts w:eastAsia="Calibri"/>
                <w:szCs w:val="24"/>
                <w:lang w:val="fi-FI"/>
              </w:rPr>
            </w:pPr>
          </w:p>
        </w:tc>
      </w:tr>
    </w:tbl>
    <w:p>
      <w:pPr>
        <w:rPr>
          <w:lang w:val="id-ID"/>
        </w:rPr>
      </w:pPr>
    </w:p>
    <w:p>
      <w:pPr>
        <w:rPr>
          <w:color w:val="FF0000"/>
        </w:rPr>
      </w:pPr>
    </w:p>
    <w:p>
      <w:pPr>
        <w:rPr>
          <w:color w:val="FF0000"/>
        </w:rPr>
      </w:pPr>
    </w:p>
    <w:p>
      <w:pPr>
        <w:rPr>
          <w:color w:val="FF0000"/>
        </w:rPr>
      </w:pPr>
    </w:p>
    <w:p>
      <w:pPr>
        <w:pStyle w:val="9"/>
        <w:spacing w:after="120"/>
        <w:rPr>
          <w:lang w:val="id-ID"/>
        </w:rPr>
      </w:pPr>
      <w:bookmarkStart w:id="52" w:name="_Toc426658407"/>
      <w:bookmarkStart w:id="53" w:name="_Toc430523106"/>
      <w:r>
        <w:t xml:space="preserve">Tabel 4. </w:t>
      </w:r>
      <w:r>
        <w:fldChar w:fldCharType="begin"/>
      </w:r>
      <w:r>
        <w:instrText xml:space="preserve"> SEQ Tabel_4. \* ARABIC </w:instrText>
      </w:r>
      <w:r>
        <w:fldChar w:fldCharType="separate"/>
      </w:r>
      <w:r>
        <w:t>9</w:t>
      </w:r>
      <w:r>
        <w:fldChar w:fldCharType="end"/>
      </w:r>
      <w:r>
        <w:t xml:space="preserve"> Hasil Analisis TOWS (Strategi WO)</w:t>
      </w:r>
      <w:bookmarkEnd w:id="52"/>
      <w:r>
        <w:t xml:space="preserve"> </w:t>
      </w:r>
      <w:r>
        <w:rPr>
          <w:szCs w:val="24"/>
          <w:lang w:val="id-ID"/>
        </w:rPr>
        <w:t>RSHS</w:t>
      </w:r>
      <w:bookmarkEnd w:id="53"/>
    </w:p>
    <w:tbl>
      <w:tblPr>
        <w:tblStyle w:val="27"/>
        <w:tblW w:w="139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36"/>
        <w:gridCol w:w="8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restart"/>
            <w:vAlign w:val="center"/>
          </w:tcPr>
          <w:p>
            <w:pPr>
              <w:keepNext/>
              <w:spacing w:after="0" w:line="240" w:lineRule="auto"/>
              <w:jc w:val="center"/>
              <w:rPr>
                <w:rFonts w:eastAsia="Calibri"/>
                <w:szCs w:val="24"/>
              </w:rPr>
            </w:pPr>
            <w:r>
              <w:rPr>
                <w:rFonts w:eastAsia="Calibri"/>
                <w:szCs w:val="24"/>
              </w:rPr>
              <w:t>Analisis TOWS untuk mendapatkan pilihan strategi</w:t>
            </w:r>
          </w:p>
        </w:tc>
        <w:tc>
          <w:tcPr>
            <w:tcW w:w="8213" w:type="dxa"/>
            <w:shd w:val="clear" w:color="auto" w:fill="259073" w:themeFill="accent2"/>
            <w:vAlign w:val="center"/>
          </w:tcPr>
          <w:p>
            <w:pPr>
              <w:keepNext/>
              <w:spacing w:after="0" w:line="240" w:lineRule="auto"/>
              <w:rPr>
                <w:rFonts w:eastAsia="Calibri"/>
                <w:szCs w:val="24"/>
              </w:rPr>
            </w:pPr>
            <w:r>
              <w:rPr>
                <w:rFonts w:eastAsia="Calibri"/>
                <w:szCs w:val="24"/>
              </w:rPr>
              <w:t>Peluang</w:t>
            </w:r>
            <w:r>
              <w:rPr>
                <w:rFonts w:eastAsia="Calibri"/>
                <w:szCs w:val="24"/>
                <w:lang w:val="id-ID"/>
              </w:rPr>
              <w:t xml:space="preserve"> </w:t>
            </w:r>
            <w:r>
              <w:rPr>
                <w:rFonts w:eastAsia="Calibri"/>
                <w:szCs w:val="24"/>
              </w:rPr>
              <w:t>(</w:t>
            </w:r>
            <w:r>
              <w:rPr>
                <w:rFonts w:eastAsia="Calibri"/>
                <w:i/>
                <w:szCs w:val="24"/>
              </w:rPr>
              <w:t>Opportunities</w:t>
            </w:r>
            <w:r>
              <w:rPr>
                <w:rFonts w:eastAsia="Calibri"/>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lang w:val="id-ID"/>
              </w:rPr>
            </w:pPr>
            <w:r>
              <w:rPr>
                <w:rFonts w:eastAsia="Calibri"/>
                <w:szCs w:val="24"/>
              </w:rPr>
              <w:t>1.   JKN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lang w:val="id-ID"/>
              </w:rPr>
            </w:pPr>
            <w:r>
              <w:rPr>
                <w:rFonts w:eastAsia="Calibri"/>
                <w:szCs w:val="24"/>
              </w:rPr>
              <w:t xml:space="preserve">2.   Kerjasama internasional (termasuk </w:t>
            </w:r>
            <w:r>
              <w:rPr>
                <w:rFonts w:eastAsia="Calibri"/>
                <w:i/>
                <w:szCs w:val="24"/>
              </w:rPr>
              <w:t>sister hospital</w:t>
            </w:r>
            <w:r>
              <w:rPr>
                <w:rFonts w:eastAsia="Calibri"/>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lang w:val="id-ID"/>
              </w:rPr>
              <w:t>3</w:t>
            </w:r>
            <w:r>
              <w:rPr>
                <w:rFonts w:eastAsia="Calibri"/>
                <w:szCs w:val="24"/>
              </w:rPr>
              <w:t>.   Kondisi demografis Jawa Barat (penduduk yang banyak)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rPr>
              <w:t>4.   Dukungan regulasi: UU Dikdok, kewajiban publikasi, sistem remunerasi, sistem kontrak kinerja SKP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rPr>
              <w:t>5.   Dukungan Pemda Kab/Kota dan Pemprov Jawa Barat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rPr>
              <w:t>6.   Dukungan sebagai RS Rujukan Nasional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rPr>
              <w:t>7.   Perkembangan teknologi kesehatan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vMerge w:val="continue"/>
            <w:vAlign w:val="center"/>
          </w:tcPr>
          <w:p>
            <w:pPr>
              <w:keepNext/>
              <w:spacing w:after="0" w:line="240" w:lineRule="auto"/>
              <w:rPr>
                <w:rFonts w:eastAsia="Calibri"/>
                <w:szCs w:val="24"/>
                <w:lang w:val="id-ID"/>
              </w:rPr>
            </w:pPr>
          </w:p>
        </w:tc>
        <w:tc>
          <w:tcPr>
            <w:tcW w:w="8213" w:type="dxa"/>
            <w:vAlign w:val="center"/>
          </w:tcPr>
          <w:p>
            <w:pPr>
              <w:keepNext/>
              <w:tabs>
                <w:tab w:val="left" w:pos="720"/>
              </w:tabs>
              <w:spacing w:after="0" w:line="240" w:lineRule="auto"/>
              <w:ind w:left="360" w:hanging="360"/>
              <w:rPr>
                <w:rFonts w:eastAsia="Calibri"/>
                <w:szCs w:val="24"/>
              </w:rPr>
            </w:pPr>
            <w:r>
              <w:rPr>
                <w:rFonts w:eastAsia="Calibri"/>
                <w:szCs w:val="24"/>
                <w:lang w:val="fi-FI"/>
              </w:rPr>
              <w:t>8.   Peningkatan kesadaran masyarakat terhadap kesehatan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shd w:val="clear" w:color="auto" w:fill="259073" w:themeFill="accent2"/>
            <w:vAlign w:val="center"/>
          </w:tcPr>
          <w:p>
            <w:pPr>
              <w:keepNext/>
              <w:spacing w:after="0" w:line="240" w:lineRule="auto"/>
              <w:rPr>
                <w:rFonts w:eastAsia="Calibri"/>
                <w:szCs w:val="24"/>
              </w:rPr>
            </w:pPr>
            <w:r>
              <w:rPr>
                <w:rFonts w:eastAsia="Calibri"/>
                <w:szCs w:val="24"/>
              </w:rPr>
              <w:t>Kelemahan (</w:t>
            </w:r>
            <w:r>
              <w:rPr>
                <w:rFonts w:eastAsia="Calibri"/>
                <w:i/>
                <w:szCs w:val="24"/>
              </w:rPr>
              <w:t>Weakness</w:t>
            </w:r>
            <w:r>
              <w:rPr>
                <w:rFonts w:eastAsia="Calibri"/>
                <w:szCs w:val="24"/>
              </w:rPr>
              <w:t>)</w:t>
            </w:r>
          </w:p>
        </w:tc>
        <w:tc>
          <w:tcPr>
            <w:tcW w:w="8213" w:type="dxa"/>
            <w:shd w:val="clear" w:color="auto" w:fill="EBCC6E"/>
            <w:vAlign w:val="center"/>
          </w:tcPr>
          <w:p>
            <w:pPr>
              <w:keepNext/>
              <w:spacing w:after="0" w:line="240" w:lineRule="auto"/>
              <w:jc w:val="center"/>
              <w:rPr>
                <w:rFonts w:eastAsia="Calibri"/>
                <w:b/>
                <w:szCs w:val="24"/>
                <w:lang w:val="fi-FI"/>
              </w:rPr>
            </w:pPr>
            <w:r>
              <w:rPr>
                <w:rFonts w:eastAsia="Calibri"/>
                <w:b/>
                <w:szCs w:val="24"/>
                <w:lang w:val="fi-FI"/>
              </w:rPr>
              <w:t>Strategi WO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i/>
                <w:szCs w:val="24"/>
              </w:rPr>
            </w:pPr>
            <w:r>
              <w:rPr>
                <w:rFonts w:eastAsia="Calibri"/>
              </w:rPr>
              <w:t>1.   Masih rendahnya keandalan sarana dan prasarana</w:t>
            </w:r>
          </w:p>
        </w:tc>
        <w:tc>
          <w:tcPr>
            <w:tcW w:w="8213" w:type="dxa"/>
            <w:vAlign w:val="center"/>
          </w:tcPr>
          <w:p>
            <w:pPr>
              <w:spacing w:after="0" w:line="240" w:lineRule="auto"/>
              <w:jc w:val="center"/>
              <w:rPr>
                <w:rFonts w:eastAsia="Calibri"/>
                <w:szCs w:val="24"/>
                <w:lang w:val="fi-FI"/>
              </w:rPr>
            </w:pPr>
            <w:r>
              <w:rPr>
                <w:rFonts w:eastAsia="Calibri"/>
                <w:szCs w:val="24"/>
                <w:lang w:val="fi-FI"/>
              </w:rPr>
              <w:t>W1, O1, O2, O6, O7: Melakukan advokasi berbasis data, program dan kinerja untuk meningkatkan keandalan sarana dan prasarana, KSO melalui kemitraan RSHS-FKUP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2.   IT belum terintegrasi</w:t>
            </w:r>
          </w:p>
        </w:tc>
        <w:tc>
          <w:tcPr>
            <w:tcW w:w="8213" w:type="dxa"/>
            <w:vAlign w:val="center"/>
          </w:tcPr>
          <w:p>
            <w:pPr>
              <w:spacing w:after="0" w:line="240" w:lineRule="auto"/>
              <w:jc w:val="center"/>
              <w:rPr>
                <w:rFonts w:eastAsia="Calibri"/>
                <w:i/>
                <w:szCs w:val="24"/>
                <w:lang w:val="fi-FI"/>
              </w:rPr>
            </w:pPr>
            <w:r>
              <w:rPr>
                <w:rFonts w:eastAsia="Calibri"/>
                <w:szCs w:val="24"/>
                <w:lang w:val="fi-FI"/>
              </w:rPr>
              <w:t xml:space="preserve">W2, O2, O7, O8: Pembenahan integrasi proses bisnis mengacu </w:t>
            </w:r>
            <w:r>
              <w:rPr>
                <w:rFonts w:eastAsia="Calibri"/>
                <w:i/>
                <w:szCs w:val="24"/>
                <w:lang w:val="fi-FI"/>
              </w:rPr>
              <w:t>best practices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 xml:space="preserve">3.   Belum optimalnya sistem </w:t>
            </w:r>
            <w:r>
              <w:rPr>
                <w:rFonts w:eastAsia="Calibri"/>
                <w:i/>
              </w:rPr>
              <w:t>reward &amp; consequence</w:t>
            </w:r>
          </w:p>
        </w:tc>
        <w:tc>
          <w:tcPr>
            <w:tcW w:w="8213" w:type="dxa"/>
            <w:vAlign w:val="center"/>
          </w:tcPr>
          <w:p>
            <w:pPr>
              <w:spacing w:after="0" w:line="240" w:lineRule="auto"/>
              <w:jc w:val="center"/>
              <w:rPr>
                <w:rFonts w:eastAsia="Calibri"/>
                <w:szCs w:val="24"/>
                <w:lang w:val="fi-FI"/>
              </w:rPr>
            </w:pPr>
            <w:r>
              <w:rPr>
                <w:rFonts w:eastAsia="Calibri"/>
                <w:szCs w:val="24"/>
                <w:lang w:val="fi-FI"/>
              </w:rPr>
              <w:t>W3, O5: Implementasi reegulasi terkait sistem manajemen kinerja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4.   Belum optimalnya sistem jejaring pelayanan</w:t>
            </w:r>
          </w:p>
        </w:tc>
        <w:tc>
          <w:tcPr>
            <w:tcW w:w="8213" w:type="dxa"/>
            <w:vAlign w:val="center"/>
          </w:tcPr>
          <w:p>
            <w:pPr>
              <w:spacing w:after="0" w:line="240" w:lineRule="auto"/>
              <w:jc w:val="center"/>
              <w:rPr>
                <w:rFonts w:eastAsia="Calibri"/>
                <w:szCs w:val="24"/>
                <w:lang w:val="fi-FI"/>
              </w:rPr>
            </w:pPr>
            <w:r>
              <w:rPr>
                <w:rFonts w:eastAsia="Calibri"/>
                <w:szCs w:val="24"/>
                <w:lang w:val="fi-FI"/>
              </w:rPr>
              <w:t xml:space="preserve">W4, O1, O2, O6, O7: </w:t>
            </w:r>
            <w:r>
              <w:rPr>
                <w:rFonts w:eastAsia="Calibri"/>
                <w:i/>
                <w:szCs w:val="24"/>
                <w:lang w:val="fi-FI"/>
              </w:rPr>
              <w:t>sister hospital</w:t>
            </w:r>
            <w:r>
              <w:rPr>
                <w:rFonts w:eastAsia="Calibri"/>
                <w:szCs w:val="24"/>
                <w:lang w:val="fi-FI"/>
              </w:rPr>
              <w:t xml:space="preserve">, </w:t>
            </w:r>
            <w:r>
              <w:rPr>
                <w:rFonts w:eastAsia="Calibri"/>
                <w:szCs w:val="24"/>
              </w:rPr>
              <w:t>perbaikan sistem rujukan (penguatan PPK1 dan PPK 2 dengan kerja sama pemda)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5.   Rasio perawat belum ideal</w:t>
            </w:r>
          </w:p>
        </w:tc>
        <w:tc>
          <w:tcPr>
            <w:tcW w:w="8213" w:type="dxa"/>
            <w:vAlign w:val="center"/>
          </w:tcPr>
          <w:p>
            <w:pPr>
              <w:spacing w:after="0" w:line="240" w:lineRule="auto"/>
              <w:jc w:val="center"/>
              <w:rPr>
                <w:rFonts w:eastAsia="Calibri"/>
                <w:szCs w:val="24"/>
                <w:lang w:val="fi-FI"/>
              </w:rPr>
            </w:pPr>
            <w:r>
              <w:rPr>
                <w:rFonts w:eastAsia="Calibri"/>
                <w:szCs w:val="24"/>
                <w:lang w:val="fi-FI"/>
              </w:rPr>
              <w:t>W5, O2, O3, O6: Pendidikan perawat spesialistik (prodi)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6.   Belum optimalnya integrasi pelayanan, pendidikan dan penelitian (proses bisnis tersegmentasi)</w:t>
            </w:r>
          </w:p>
        </w:tc>
        <w:tc>
          <w:tcPr>
            <w:tcW w:w="8213" w:type="dxa"/>
            <w:vAlign w:val="center"/>
          </w:tcPr>
          <w:p>
            <w:pPr>
              <w:spacing w:after="0" w:line="240" w:lineRule="auto"/>
              <w:jc w:val="center"/>
              <w:rPr>
                <w:rFonts w:eastAsia="Calibri"/>
                <w:szCs w:val="24"/>
                <w:lang w:val="fi-FI"/>
              </w:rPr>
            </w:pPr>
            <w:r>
              <w:rPr>
                <w:rFonts w:eastAsia="Calibri"/>
                <w:szCs w:val="24"/>
                <w:lang w:val="fi-FI"/>
              </w:rPr>
              <w:t>W6, O1: Portofolio kinerja pelayanan, penyempurnaan organisasi (AHC RSHS)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5736" w:type="dxa"/>
          </w:tcPr>
          <w:p>
            <w:pPr>
              <w:spacing w:after="0" w:line="240" w:lineRule="auto"/>
              <w:ind w:left="360" w:hanging="360"/>
              <w:rPr>
                <w:rFonts w:eastAsia="Calibri"/>
                <w:szCs w:val="24"/>
              </w:rPr>
            </w:pPr>
            <w:r>
              <w:rPr>
                <w:rFonts w:eastAsia="Calibri"/>
              </w:rPr>
              <w:t>7.   Belum terbangunnya budaya kinerja, budaya kolaboratif dan budaya transformative</w:t>
            </w:r>
          </w:p>
        </w:tc>
        <w:tc>
          <w:tcPr>
            <w:tcW w:w="8213" w:type="dxa"/>
            <w:vAlign w:val="center"/>
          </w:tcPr>
          <w:p>
            <w:pPr>
              <w:spacing w:after="0" w:line="240" w:lineRule="auto"/>
              <w:jc w:val="center"/>
              <w:rPr>
                <w:rFonts w:eastAsia="Calibri"/>
                <w:szCs w:val="24"/>
                <w:lang w:val="fi-FI"/>
              </w:rPr>
            </w:pPr>
            <w:r>
              <w:rPr>
                <w:rFonts w:eastAsia="Calibri"/>
                <w:szCs w:val="24"/>
                <w:lang w:val="fi-FI"/>
              </w:rPr>
              <w:t>W7, O2, O3, O5, O6: Transformasi budaya melalui kemitraan</w:t>
            </w:r>
          </w:p>
        </w:tc>
      </w:tr>
    </w:tbl>
    <w:p>
      <w:pPr>
        <w:rPr>
          <w:color w:val="FF0000"/>
        </w:rPr>
        <w:sectPr>
          <w:type w:val="continuous"/>
          <w:pgSz w:w="16839" w:h="11907" w:orient="landscape"/>
          <w:pgMar w:top="1440" w:right="1440" w:bottom="1440" w:left="1440" w:header="720" w:footer="202" w:gutter="0"/>
          <w:cols w:space="720" w:num="1"/>
          <w:docGrid w:linePitch="360" w:charSpace="0"/>
        </w:sectPr>
      </w:pPr>
    </w:p>
    <w:p>
      <w:pPr>
        <w:pStyle w:val="3"/>
        <w:spacing w:before="0" w:after="0"/>
      </w:pPr>
      <w:bookmarkStart w:id="54" w:name="_Toc431267236"/>
      <w:r>
        <w:rPr>
          <w:lang w:val="id-ID"/>
        </w:rPr>
        <w:t>4</w:t>
      </w:r>
      <w:r>
        <w:t>.</w:t>
      </w:r>
      <w:r>
        <w:rPr>
          <w:lang w:val="id-ID"/>
        </w:rPr>
        <w:t xml:space="preserve">6. </w:t>
      </w:r>
      <w:r>
        <w:t>Peta Strategi</w:t>
      </w:r>
      <w:bookmarkEnd w:id="54"/>
    </w:p>
    <w:p>
      <w:pPr>
        <w:spacing w:before="120" w:after="120" w:line="360" w:lineRule="auto"/>
        <w:ind w:firstLine="709"/>
        <w:jc w:val="both"/>
      </w:pPr>
      <w:r>
        <w:t xml:space="preserve">Berdasarkan hasil analisa posisi bersaing dan analisa TOWS, maka dapat disusun peta strategi. Dalam buku ini, peta strategi menggambarkan jalinan hubungan sebab dan akibat atas berbagai sasaran strategis pada 4 (empat) perspektif, yakni perspektif </w:t>
      </w:r>
      <w:r>
        <w:rPr>
          <w:i/>
        </w:rPr>
        <w:t>stakeholders</w:t>
      </w:r>
      <w:r>
        <w:t xml:space="preserve">, perspektif proses bisnis, perspektif </w:t>
      </w:r>
      <w:r>
        <w:rPr>
          <w:i/>
        </w:rPr>
        <w:t>learning &amp; growth</w:t>
      </w:r>
      <w:r>
        <w:t xml:space="preserve">, dan perspektif finansial. Peta strategi yang disusun diadaptasi dari pendekatan </w:t>
      </w:r>
      <w:r>
        <w:rPr>
          <w:i/>
        </w:rPr>
        <w:t>Balanced Scorecard</w:t>
      </w:r>
      <w:r>
        <w:t>. Gambar 4.2 menyajikan peta strategi RSHS untuk kurun waktu tahun 2015-2019. Peta strategi RSHS periode tahun 2015-2019 disusun atas 15 (lima belas) jenis sasaran strategis yang dikembangkan berdasarkan pada analisa TOWS sebagai berikut:</w:t>
      </w:r>
    </w:p>
    <w:p>
      <w:pPr>
        <w:pStyle w:val="28"/>
        <w:numPr>
          <w:ilvl w:val="0"/>
          <w:numId w:val="28"/>
        </w:numPr>
        <w:spacing w:after="0" w:line="360" w:lineRule="auto"/>
        <w:ind w:left="360"/>
        <w:jc w:val="both"/>
      </w:pPr>
      <w:r>
        <w:t>Terwujudnya peningkatan capaian indikator kesehatan Jawa Barat</w:t>
      </w:r>
    </w:p>
    <w:p>
      <w:pPr>
        <w:pStyle w:val="28"/>
        <w:numPr>
          <w:ilvl w:val="0"/>
          <w:numId w:val="28"/>
        </w:numPr>
        <w:spacing w:after="0" w:line="360" w:lineRule="auto"/>
        <w:ind w:left="357" w:hanging="357"/>
        <w:contextualSpacing w:val="0"/>
        <w:jc w:val="both"/>
      </w:pPr>
      <w:r>
        <w:t>Terwujudnya RSHS</w:t>
      </w:r>
      <w:r>
        <w:rPr>
          <w:color w:val="FF0000"/>
        </w:rPr>
        <w:t xml:space="preserve"> </w:t>
      </w:r>
      <w:r>
        <w:t>sebagai pilihan utama masyarakat</w:t>
      </w:r>
    </w:p>
    <w:p>
      <w:pPr>
        <w:pStyle w:val="28"/>
        <w:numPr>
          <w:ilvl w:val="0"/>
          <w:numId w:val="28"/>
        </w:numPr>
        <w:spacing w:after="0" w:line="360" w:lineRule="auto"/>
        <w:ind w:left="357" w:hanging="357"/>
        <w:contextualSpacing w:val="0"/>
        <w:jc w:val="both"/>
      </w:pPr>
      <w:r>
        <w:t>Terwujudnya lulusan yang berdaya saing global dan berkarakter leadership</w:t>
      </w:r>
    </w:p>
    <w:p>
      <w:pPr>
        <w:pStyle w:val="28"/>
        <w:numPr>
          <w:ilvl w:val="0"/>
          <w:numId w:val="28"/>
        </w:numPr>
        <w:spacing w:after="0" w:line="360" w:lineRule="auto"/>
        <w:ind w:left="357" w:hanging="357"/>
        <w:contextualSpacing w:val="0"/>
        <w:jc w:val="both"/>
      </w:pPr>
      <w:r>
        <w:t>Terwujudnya layanan unggulan</w:t>
      </w:r>
    </w:p>
    <w:p>
      <w:pPr>
        <w:pStyle w:val="28"/>
        <w:numPr>
          <w:ilvl w:val="0"/>
          <w:numId w:val="28"/>
        </w:numPr>
        <w:spacing w:after="0" w:line="360" w:lineRule="auto"/>
        <w:ind w:left="357" w:hanging="357"/>
        <w:contextualSpacing w:val="0"/>
        <w:jc w:val="both"/>
      </w:pPr>
      <w:r>
        <w:t>Terwujudnya penyempurnaan sistem rujukan dalam jejaring kesehatan</w:t>
      </w:r>
    </w:p>
    <w:p>
      <w:pPr>
        <w:pStyle w:val="28"/>
        <w:numPr>
          <w:ilvl w:val="0"/>
          <w:numId w:val="28"/>
        </w:numPr>
        <w:spacing w:after="0" w:line="360" w:lineRule="auto"/>
        <w:ind w:left="357" w:hanging="357"/>
        <w:contextualSpacing w:val="0"/>
        <w:jc w:val="both"/>
      </w:pPr>
      <w:r>
        <w:t>Terwujudnya kemitraan strategis (ABGCM)</w:t>
      </w:r>
    </w:p>
    <w:p>
      <w:pPr>
        <w:pStyle w:val="28"/>
        <w:numPr>
          <w:ilvl w:val="0"/>
          <w:numId w:val="28"/>
        </w:numPr>
        <w:spacing w:after="0" w:line="360" w:lineRule="auto"/>
        <w:ind w:left="357" w:hanging="357"/>
        <w:contextualSpacing w:val="0"/>
        <w:jc w:val="both"/>
      </w:pPr>
      <w:r>
        <w:t>Terwujudnya integrasi layanan, pendidikan dan penelitian</w:t>
      </w:r>
    </w:p>
    <w:p>
      <w:pPr>
        <w:pStyle w:val="28"/>
        <w:numPr>
          <w:ilvl w:val="0"/>
          <w:numId w:val="28"/>
        </w:numPr>
        <w:spacing w:after="0" w:line="360" w:lineRule="auto"/>
        <w:ind w:left="357" w:hanging="357"/>
        <w:contextualSpacing w:val="0"/>
        <w:jc w:val="both"/>
      </w:pPr>
      <w:r>
        <w:t>Terwujudnya pengarus-utamaan riset pusat studi untuk kesehatan masyarakat</w:t>
      </w:r>
    </w:p>
    <w:p>
      <w:pPr>
        <w:pStyle w:val="28"/>
        <w:numPr>
          <w:ilvl w:val="0"/>
          <w:numId w:val="28"/>
        </w:numPr>
        <w:spacing w:after="0" w:line="360" w:lineRule="auto"/>
        <w:ind w:left="357" w:hanging="357"/>
        <w:contextualSpacing w:val="0"/>
        <w:jc w:val="both"/>
      </w:pPr>
      <w:r>
        <w:t>Terwujudnya penyempurnaan keorganisasian AHC RSHS</w:t>
      </w:r>
    </w:p>
    <w:p>
      <w:pPr>
        <w:pStyle w:val="28"/>
        <w:numPr>
          <w:ilvl w:val="0"/>
          <w:numId w:val="28"/>
        </w:numPr>
        <w:spacing w:after="0" w:line="360" w:lineRule="auto"/>
        <w:ind w:left="357" w:hanging="357"/>
        <w:contextualSpacing w:val="0"/>
        <w:jc w:val="both"/>
      </w:pPr>
      <w:r>
        <w:t>Terwujudnya kemandirian finansial</w:t>
      </w:r>
    </w:p>
    <w:p>
      <w:pPr>
        <w:pStyle w:val="28"/>
        <w:numPr>
          <w:ilvl w:val="0"/>
          <w:numId w:val="28"/>
        </w:numPr>
        <w:spacing w:after="0" w:line="360" w:lineRule="auto"/>
        <w:ind w:left="357" w:hanging="357"/>
        <w:contextualSpacing w:val="0"/>
        <w:jc w:val="both"/>
      </w:pPr>
      <w:r>
        <w:t>Terwujudnya keuangan yang akuntabel, transparan dan cost-effective</w:t>
      </w:r>
    </w:p>
    <w:p>
      <w:pPr>
        <w:pStyle w:val="28"/>
        <w:numPr>
          <w:ilvl w:val="0"/>
          <w:numId w:val="28"/>
        </w:numPr>
        <w:spacing w:after="0" w:line="360" w:lineRule="auto"/>
        <w:ind w:left="357" w:hanging="357"/>
        <w:contextualSpacing w:val="0"/>
        <w:jc w:val="both"/>
      </w:pPr>
      <w:r>
        <w:t>Terwujudnya integrasi IT RSHS</w:t>
      </w:r>
    </w:p>
    <w:p>
      <w:pPr>
        <w:pStyle w:val="28"/>
        <w:numPr>
          <w:ilvl w:val="0"/>
          <w:numId w:val="28"/>
        </w:numPr>
        <w:spacing w:after="0" w:line="360" w:lineRule="auto"/>
        <w:ind w:left="357" w:hanging="357"/>
        <w:contextualSpacing w:val="0"/>
        <w:jc w:val="both"/>
      </w:pPr>
      <w:r>
        <w:t>Terwujudnya transformasi budaya</w:t>
      </w:r>
    </w:p>
    <w:p>
      <w:pPr>
        <w:pStyle w:val="28"/>
        <w:numPr>
          <w:ilvl w:val="0"/>
          <w:numId w:val="28"/>
        </w:numPr>
        <w:spacing w:after="0" w:line="360" w:lineRule="auto"/>
        <w:ind w:left="357" w:hanging="357"/>
        <w:contextualSpacing w:val="0"/>
        <w:jc w:val="both"/>
      </w:pPr>
      <w:r>
        <w:t>Terwujudnya sarana prasarana yang andal</w:t>
      </w:r>
    </w:p>
    <w:p>
      <w:pPr>
        <w:pStyle w:val="28"/>
        <w:numPr>
          <w:ilvl w:val="0"/>
          <w:numId w:val="28"/>
        </w:numPr>
        <w:spacing w:after="0" w:line="360" w:lineRule="auto"/>
        <w:ind w:left="357" w:hanging="357"/>
        <w:contextualSpacing w:val="0"/>
        <w:jc w:val="both"/>
      </w:pPr>
      <w:r>
        <w:t>Terwujudnya pemberdayaan SDM Unggul</w:t>
      </w:r>
    </w:p>
    <w:p>
      <w:pPr>
        <w:spacing w:after="0" w:line="360" w:lineRule="auto"/>
        <w:jc w:val="both"/>
      </w:pPr>
      <w:r>
        <w:t>Berikut ini disajikan peta strategi RSHS</w:t>
      </w:r>
      <w:r>
        <w:rPr>
          <w:b/>
        </w:rPr>
        <w:t xml:space="preserve"> </w:t>
      </w:r>
      <w:r>
        <w:t>PMN-RSMC, dan FKUP</w:t>
      </w:r>
      <w:r>
        <w:rPr>
          <w:color w:val="FF0000"/>
        </w:rPr>
        <w:t xml:space="preserve"> </w:t>
      </w:r>
      <w:r>
        <w:t>untuk periode tahun 2015-2019 (Gambar 4.3).</w:t>
      </w:r>
    </w:p>
    <w:p>
      <w:pPr>
        <w:spacing w:line="360" w:lineRule="auto"/>
        <w:jc w:val="both"/>
        <w:sectPr>
          <w:footerReference r:id="rId10" w:type="default"/>
          <w:type w:val="continuous"/>
          <w:pgSz w:w="16839" w:h="11907" w:orient="landscape"/>
          <w:pgMar w:top="1440" w:right="1440" w:bottom="1440" w:left="1440" w:header="720" w:footer="720" w:gutter="0"/>
          <w:cols w:space="720" w:num="1"/>
          <w:docGrid w:linePitch="360" w:charSpace="0"/>
        </w:sectPr>
      </w:pPr>
    </w:p>
    <w:p>
      <w:pPr>
        <w:tabs>
          <w:tab w:val="left" w:pos="5093"/>
          <w:tab w:val="center" w:pos="6979"/>
        </w:tabs>
        <w:spacing w:line="360" w:lineRule="auto"/>
        <w:jc w:val="center"/>
      </w:pPr>
      <w:r>
        <w:rPr>
          <w:lang w:val="id-ID" w:eastAsia="id-ID"/>
        </w:rPr>
        <w:drawing>
          <wp:inline distT="0" distB="0" distL="0" distR="0">
            <wp:extent cx="6491605" cy="3594100"/>
            <wp:effectExtent l="0" t="0" r="4445" b="635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Picture 2342"/>
                    <pic:cNvPicPr>
                      <a:picLocks noChangeAspect="1"/>
                    </pic:cNvPicPr>
                  </pic:nvPicPr>
                  <pic:blipFill>
                    <a:blip r:embed="rId24"/>
                    <a:stretch>
                      <a:fillRect/>
                    </a:stretch>
                  </pic:blipFill>
                  <pic:spPr>
                    <a:xfrm>
                      <a:off x="0" y="0"/>
                      <a:ext cx="6506602" cy="3602659"/>
                    </a:xfrm>
                    <a:prstGeom prst="rect">
                      <a:avLst/>
                    </a:prstGeom>
                  </pic:spPr>
                </pic:pic>
              </a:graphicData>
            </a:graphic>
          </wp:inline>
        </w:drawing>
      </w:r>
      <w:bookmarkStart w:id="55" w:name="_Toc430523231"/>
    </w:p>
    <w:p>
      <w:pPr>
        <w:tabs>
          <w:tab w:val="left" w:pos="5093"/>
          <w:tab w:val="center" w:pos="6979"/>
        </w:tabs>
        <w:spacing w:after="0" w:line="240" w:lineRule="auto"/>
        <w:jc w:val="center"/>
        <w:rPr>
          <w:b/>
          <w:szCs w:val="24"/>
        </w:rPr>
      </w:pPr>
      <w:r>
        <w:rPr>
          <w:b/>
        </w:rPr>
        <w:t xml:space="preserve">Gambar 4. </w:t>
      </w:r>
      <w:r>
        <w:rPr>
          <w:b/>
        </w:rPr>
        <w:fldChar w:fldCharType="begin"/>
      </w:r>
      <w:r>
        <w:rPr>
          <w:b/>
        </w:rPr>
        <w:instrText xml:space="preserve"> SEQ Gambar_4. \* ARABIC </w:instrText>
      </w:r>
      <w:r>
        <w:rPr>
          <w:b/>
        </w:rPr>
        <w:fldChar w:fldCharType="separate"/>
      </w:r>
      <w:r>
        <w:rPr>
          <w:b/>
        </w:rPr>
        <w:t>2</w:t>
      </w:r>
      <w:r>
        <w:rPr>
          <w:b/>
        </w:rPr>
        <w:fldChar w:fldCharType="end"/>
      </w:r>
      <w:bookmarkStart w:id="56" w:name="_Toc420775923"/>
      <w:r>
        <w:rPr>
          <w:rFonts w:eastAsia="Calibri" w:cs="Arial"/>
          <w:b/>
          <w:szCs w:val="20"/>
          <w:lang w:val="sv-SE"/>
        </w:rPr>
        <w:t xml:space="preserve">. Peta Strategi </w:t>
      </w:r>
      <w:r>
        <w:rPr>
          <w:b/>
        </w:rPr>
        <w:t>RSHS, PMN-RSMC, dan FKUP</w:t>
      </w:r>
      <w:r>
        <w:rPr>
          <w:rFonts w:eastAsia="Calibri" w:cs="Arial"/>
          <w:b/>
          <w:szCs w:val="20"/>
          <w:lang w:val="sv-SE"/>
        </w:rPr>
        <w:t xml:space="preserve"> 2015-2019</w:t>
      </w:r>
      <w:bookmarkEnd w:id="55"/>
      <w:bookmarkEnd w:id="56"/>
    </w:p>
    <w:p>
      <w:pPr>
        <w:spacing w:after="0" w:line="240" w:lineRule="auto"/>
        <w:jc w:val="both"/>
        <w:rPr>
          <w:b/>
        </w:rPr>
      </w:pPr>
    </w:p>
    <w:p>
      <w:pPr>
        <w:spacing w:line="360" w:lineRule="auto"/>
        <w:jc w:val="both"/>
        <w:rPr>
          <w:b/>
        </w:rPr>
        <w:sectPr>
          <w:type w:val="continuous"/>
          <w:pgSz w:w="16839" w:h="11907" w:orient="landscape"/>
          <w:pgMar w:top="1440" w:right="1440" w:bottom="1440" w:left="1440" w:header="720" w:footer="202" w:gutter="0"/>
          <w:cols w:space="720" w:num="1"/>
          <w:docGrid w:linePitch="360" w:charSpace="0"/>
        </w:sectPr>
      </w:pPr>
    </w:p>
    <w:p>
      <w:pPr>
        <w:spacing w:line="360" w:lineRule="auto"/>
        <w:ind w:firstLine="709"/>
        <w:jc w:val="both"/>
      </w:pPr>
      <w:r>
        <w:t>Peta strategi disusun untuk mewujudkan visi RSHS</w:t>
      </w:r>
      <w:r>
        <w:rPr>
          <w:color w:val="FF0000"/>
        </w:rPr>
        <w:t xml:space="preserve"> </w:t>
      </w:r>
      <w:r>
        <w:t>2019, yakni “</w:t>
      </w:r>
      <w:r>
        <w:rPr>
          <w:b/>
          <w:szCs w:val="24"/>
        </w:rPr>
        <w:t>Menjadi Institusi Kesehatan yang unggul dan transformatif dalam meningkatkan status kesehatan masyarakat</w:t>
      </w:r>
      <w:r>
        <w:t xml:space="preserve">”. Dalam rangka mewujudkan visi tersebut, sasaran strategis yang diperlukan pada perspektif </w:t>
      </w:r>
      <w:r>
        <w:rPr>
          <w:i/>
        </w:rPr>
        <w:t xml:space="preserve">stakeholder </w:t>
      </w:r>
      <w:r>
        <w:t>adalah terwujudnya peningkatan capaian indikator kesehatan nasional melalui Jawa Barat, yang hanya bisa dicapai jika RSHS dan FKUP mampu menghasilkan lulusan yang berdaya saing global dan berkarakter leadership dan RSHS</w:t>
      </w:r>
      <w:r>
        <w:rPr>
          <w:color w:val="FF0000"/>
        </w:rPr>
        <w:t xml:space="preserve">- </w:t>
      </w:r>
      <w:r>
        <w:t>menjadi pilihan utama masyarakat.</w:t>
      </w:r>
    </w:p>
    <w:p>
      <w:pPr>
        <w:spacing w:line="360" w:lineRule="auto"/>
        <w:ind w:firstLine="709"/>
        <w:jc w:val="both"/>
      </w:pPr>
      <w:r>
        <w:t>Untuk mewujudkan kedua sasaran strategis tersebut, perlu terlebih dahulu diwujudkan layahan unggulan yang paripurna yang terdapat pada perspektif bisnis dan proses internal. Layanan unggulan yang paripurna dapat diwujudkan dengan a) mewujudkan pengarus-utamaan riset untuk kesehatan masyarakat yang ditopang oleh terwujudnya integrase pelayanan, pendidikan dan penelitian, b) mewujudkan penyempurnaan sistem rujukan dalam jejaring pelayanan kesehatan yang ditopang oleh terwujudnya kemitraan strategis (ABGCM). Semua sasaran strategis proses bisnis ini hanya akan terwujud kalau terjadi penyempurnaan keorganisasian AHC di RSHS.</w:t>
      </w:r>
    </w:p>
    <w:p>
      <w:pPr>
        <w:spacing w:line="360" w:lineRule="auto"/>
        <w:ind w:firstLine="709"/>
        <w:jc w:val="both"/>
      </w:pPr>
      <w:r>
        <w:t xml:space="preserve">Dari perspektif </w:t>
      </w:r>
      <w:r>
        <w:rPr>
          <w:i/>
        </w:rPr>
        <w:t xml:space="preserve">learning and growth </w:t>
      </w:r>
      <w:r>
        <w:t>atau bisa disebut juga pengembangan personil dan organisasi, hal tersebut dicapai melalui pencapaian mewujudkan pemberdayaan SDM yang unggul dan sarana, prasarana, fasilitas kesehatan yang handal.</w:t>
      </w:r>
    </w:p>
    <w:p>
      <w:pPr>
        <w:spacing w:line="360" w:lineRule="auto"/>
        <w:ind w:firstLine="709"/>
        <w:jc w:val="both"/>
      </w:pPr>
      <w:r>
        <w:t xml:space="preserve">Perspektif finansial pada peta strategi berfungsi sebagai </w:t>
      </w:r>
      <w:r>
        <w:rPr>
          <w:i/>
        </w:rPr>
        <w:t xml:space="preserve">enabler </w:t>
      </w:r>
      <w:r>
        <w:t xml:space="preserve">yang memampukan percepatan perwujudan ketiga jenis perspektif lainnya (perspektif </w:t>
      </w:r>
      <w:r>
        <w:rPr>
          <w:i/>
        </w:rPr>
        <w:t>stakeholder</w:t>
      </w:r>
      <w:r>
        <w:t xml:space="preserve">, perspektif proses bisnis internal, dan perspektif </w:t>
      </w:r>
      <w:r>
        <w:rPr>
          <w:i/>
        </w:rPr>
        <w:t xml:space="preserve">learning </w:t>
      </w:r>
      <w:r>
        <w:t xml:space="preserve">&amp; </w:t>
      </w:r>
      <w:r>
        <w:rPr>
          <w:i/>
        </w:rPr>
        <w:t>growth</w:t>
      </w:r>
      <w:r>
        <w:t>). Ada dua jenis sasaran strategis yang perlu direalisasikan oleh RSHS</w:t>
      </w:r>
      <w:r>
        <w:rPr>
          <w:color w:val="FF0000"/>
        </w:rPr>
        <w:t xml:space="preserve"> </w:t>
      </w:r>
      <w:r>
        <w:t xml:space="preserve">yaitu tercapainya kemandirian finansial dan sistem keuangan yang akuntabel, transparan dan </w:t>
      </w:r>
      <w:r>
        <w:rPr>
          <w:i/>
        </w:rPr>
        <w:t>cost-effectiveness</w:t>
      </w:r>
      <w:r>
        <w:t>.</w:t>
      </w:r>
    </w:p>
    <w:p>
      <w:pPr>
        <w:spacing w:line="360" w:lineRule="auto"/>
        <w:sectPr>
          <w:type w:val="continuous"/>
          <w:pgSz w:w="16839" w:h="11907" w:orient="landscape"/>
          <w:pgMar w:top="1440" w:right="1440" w:bottom="1440" w:left="1440" w:header="720" w:footer="202" w:gutter="0"/>
          <w:cols w:space="720" w:num="1"/>
          <w:docGrid w:linePitch="360" w:charSpace="0"/>
        </w:sectPr>
      </w:pPr>
    </w:p>
    <w:p>
      <w:pPr>
        <w:pStyle w:val="2"/>
        <w:sectPr>
          <w:type w:val="continuous"/>
          <w:pgSz w:w="16839" w:h="11907" w:orient="landscape"/>
          <w:pgMar w:top="1440" w:right="1440" w:bottom="1440" w:left="1440" w:header="720" w:footer="202" w:gutter="0"/>
          <w:cols w:space="720" w:num="1"/>
          <w:docGrid w:linePitch="360" w:charSpace="0"/>
        </w:sectPr>
      </w:pPr>
      <w:bookmarkStart w:id="57" w:name="_Toc431267237"/>
      <w:r>
        <w:t>V. INDIKATOR KINERJA UTAMA DAN PROGRAM KERJA STRATEGIS</w:t>
      </w:r>
      <w:bookmarkEnd w:id="57"/>
    </w:p>
    <w:p>
      <w:pPr>
        <w:pStyle w:val="3"/>
      </w:pPr>
      <w:bookmarkStart w:id="58" w:name="_Toc431267238"/>
      <w:r>
        <w:rPr>
          <w:lang w:val="id-ID"/>
        </w:rPr>
        <w:t>5</w:t>
      </w:r>
      <w:r>
        <w:t>.1 Matriks KPI</w:t>
      </w:r>
      <w:bookmarkEnd w:id="58"/>
    </w:p>
    <w:p>
      <w:pPr>
        <w:spacing w:line="360" w:lineRule="auto"/>
        <w:jc w:val="both"/>
        <w:sectPr>
          <w:type w:val="continuous"/>
          <w:pgSz w:w="16839" w:h="11907" w:orient="landscape"/>
          <w:pgMar w:top="1440" w:right="1440" w:bottom="1440" w:left="1440" w:header="720" w:footer="202" w:gutter="0"/>
          <w:cols w:space="720" w:num="1"/>
          <w:docGrid w:linePitch="360" w:charSpace="0"/>
        </w:sectPr>
      </w:pPr>
    </w:p>
    <w:p>
      <w:pPr>
        <w:spacing w:line="360" w:lineRule="auto"/>
        <w:ind w:firstLine="709"/>
        <w:jc w:val="both"/>
      </w:pPr>
      <w:r>
        <w:t>Berdasarkan peta strategi yang telah ditetapkan sebagai bingkai arah dan prioritas strategis RSHS</w:t>
      </w:r>
      <w:r>
        <w:rPr>
          <w:color w:val="FF0000"/>
        </w:rPr>
        <w:t xml:space="preserve"> </w:t>
      </w:r>
      <w:r>
        <w:t>demi mewujudkan visi di penghujung tahun 2019, maka dapat disusun Indikator Kinerja Utama atau KPI (</w:t>
      </w:r>
      <w:r>
        <w:rPr>
          <w:i/>
        </w:rPr>
        <w:t>Key Performance Indicator</w:t>
      </w:r>
      <w:r>
        <w:t xml:space="preserve">) dan target KPI serta bobot KPI dan </w:t>
      </w:r>
      <w:r>
        <w:rPr>
          <w:i/>
        </w:rPr>
        <w:t xml:space="preserve">Person in Charge </w:t>
      </w:r>
      <w:r>
        <w:t>(PIC) atas suatu KPI. Berbagai jenis KPI telah dirumuskan untuk renstra RSHS</w:t>
      </w:r>
      <w:r>
        <w:rPr>
          <w:color w:val="FF0000"/>
        </w:rPr>
        <w:t xml:space="preserve"> </w:t>
      </w:r>
      <w:r>
        <w:t xml:space="preserve">periode tahun 2015-2019. Sebagian jenis KPI adalah bertipe </w:t>
      </w:r>
      <w:r>
        <w:rPr>
          <w:i/>
        </w:rPr>
        <w:t>outcome</w:t>
      </w:r>
      <w:r>
        <w:t xml:space="preserve">, dan lainnya bertipe </w:t>
      </w:r>
      <w:r>
        <w:rPr>
          <w:i/>
        </w:rPr>
        <w:t>output</w:t>
      </w:r>
      <w:r>
        <w:t xml:space="preserve">, proses, dan </w:t>
      </w:r>
      <w:r>
        <w:rPr>
          <w:i/>
        </w:rPr>
        <w:t>input</w:t>
      </w:r>
      <w:r>
        <w:t xml:space="preserve">. KPI berfungsi untuk mengukur tingkat keberhasilan pencapaian suatu sasaran strategis pada peta strategi. KPI berjenis </w:t>
      </w:r>
      <w:r>
        <w:rPr>
          <w:i/>
        </w:rPr>
        <w:t xml:space="preserve">outcome </w:t>
      </w:r>
      <w:r>
        <w:t>merupakan indikator kinerja utama yang mengukur keberhasilan RSHS</w:t>
      </w:r>
      <w:r>
        <w:rPr>
          <w:color w:val="FF0000"/>
        </w:rPr>
        <w:t xml:space="preserve"> </w:t>
      </w:r>
      <w:r>
        <w:t xml:space="preserve">untuk menghasilkan sasaran strategis tertentu. Jenis KPI </w:t>
      </w:r>
      <w:r>
        <w:rPr>
          <w:i/>
        </w:rPr>
        <w:t>outcome</w:t>
      </w:r>
      <w:r>
        <w:t xml:space="preserve"> hanya bisa diwujudkan bila ditunjang oleh berbagai KPI berjenis</w:t>
      </w:r>
      <w:r>
        <w:rPr>
          <w:i/>
        </w:rPr>
        <w:t xml:space="preserve"> output</w:t>
      </w:r>
      <w:r>
        <w:t xml:space="preserve">, yang berfungsi untuk mengukur tingkat keberhasilan keluaran suatu sasaran strategis pada peta strategis. Berbagai KPI bertipe proses merupakan kumpulan indikator keberhasilan sasaran strategis yang dibutuhkan untuk mewujudkan KPI bertipe </w:t>
      </w:r>
      <w:r>
        <w:rPr>
          <w:i/>
        </w:rPr>
        <w:t>output</w:t>
      </w:r>
      <w:r>
        <w:t>. Dalam buku ini, KPI bertipe proses hanya bisa diwujudkan bila RSHS</w:t>
      </w:r>
      <w:r>
        <w:rPr>
          <w:color w:val="FF0000"/>
        </w:rPr>
        <w:t xml:space="preserve"> </w:t>
      </w:r>
      <w:r>
        <w:t xml:space="preserve">mewujudkan KPI bertipe </w:t>
      </w:r>
      <w:r>
        <w:rPr>
          <w:i/>
        </w:rPr>
        <w:t>input</w:t>
      </w:r>
      <w:r>
        <w:t>, yang mengukur pencapaian keberhasilan RSHS</w:t>
      </w:r>
      <w:r>
        <w:rPr>
          <w:color w:val="FF0000"/>
        </w:rPr>
        <w:t xml:space="preserve"> </w:t>
      </w:r>
      <w:r>
        <w:t>dalam menyediakan sumber daya organisasi tertentu sebagai masukan untuk melakukan berbagai sasaran strategis pada proses bisnis internal.</w:t>
      </w:r>
    </w:p>
    <w:p>
      <w:pPr>
        <w:spacing w:line="360" w:lineRule="auto"/>
        <w:ind w:firstLine="709"/>
        <w:jc w:val="both"/>
      </w:pPr>
      <w:r>
        <w:t>Tabel 5.1 menggambarkan berbagai KPI untuk mengukur tingkat keberhasilan suatu sasaran strategis pada peta strategi RSHS</w:t>
      </w:r>
      <w:r>
        <w:rPr>
          <w:color w:val="FF0000"/>
        </w:rPr>
        <w:t xml:space="preserve"> </w:t>
      </w:r>
      <w:r>
        <w:t>periode tahun 2015-2019.</w:t>
      </w:r>
    </w:p>
    <w:p/>
    <w:p>
      <w:pPr>
        <w:spacing w:after="0" w:line="360" w:lineRule="auto"/>
        <w:jc w:val="center"/>
        <w:rPr>
          <w:b/>
          <w:szCs w:val="24"/>
        </w:rPr>
        <w:sectPr>
          <w:type w:val="continuous"/>
          <w:pgSz w:w="16839" w:h="11907" w:orient="landscape"/>
          <w:pgMar w:top="1440" w:right="1440" w:bottom="1440" w:left="1440" w:header="720" w:footer="202" w:gutter="0"/>
          <w:cols w:space="720" w:num="1"/>
          <w:docGrid w:linePitch="360" w:charSpace="0"/>
        </w:sectPr>
      </w:pPr>
    </w:p>
    <w:p>
      <w:pPr>
        <w:pStyle w:val="9"/>
        <w:sectPr>
          <w:type w:val="continuous"/>
          <w:pgSz w:w="16839" w:h="11907" w:orient="landscape"/>
          <w:pgMar w:top="1440" w:right="1440" w:bottom="1440" w:left="1440" w:header="720" w:footer="202" w:gutter="0"/>
          <w:cols w:space="720" w:num="1"/>
          <w:docGrid w:linePitch="360" w:charSpace="0"/>
        </w:sectPr>
      </w:pPr>
    </w:p>
    <w:p>
      <w:pPr>
        <w:pStyle w:val="9"/>
        <w:keepNext/>
        <w:rPr>
          <w:szCs w:val="24"/>
        </w:rPr>
      </w:pPr>
      <w:bookmarkStart w:id="59" w:name="_Toc430523172"/>
      <w:r>
        <w:t xml:space="preserve">Tabel 5. </w:t>
      </w:r>
      <w:r>
        <w:fldChar w:fldCharType="begin"/>
      </w:r>
      <w:r>
        <w:instrText xml:space="preserve"> SEQ Tabel_5. \* ARABIC </w:instrText>
      </w:r>
      <w:r>
        <w:fldChar w:fldCharType="separate"/>
      </w:r>
      <w:r>
        <w:t>1</w:t>
      </w:r>
      <w:r>
        <w:fldChar w:fldCharType="end"/>
      </w:r>
      <w:r>
        <w:t xml:space="preserve"> </w:t>
      </w:r>
      <w:r>
        <w:rPr>
          <w:szCs w:val="24"/>
        </w:rPr>
        <w:t>Indikator Kinerja Utama (KPI)</w:t>
      </w:r>
      <w:bookmarkEnd w:id="59"/>
    </w:p>
    <w:p/>
    <w:tbl>
      <w:tblPr>
        <w:tblStyle w:val="26"/>
        <w:tblW w:w="13459" w:type="dxa"/>
        <w:tblInd w:w="0" w:type="dxa"/>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
      <w:tblGrid>
        <w:gridCol w:w="1977"/>
        <w:gridCol w:w="4961"/>
        <w:gridCol w:w="699"/>
        <w:gridCol w:w="5822"/>
      </w:tblGrid>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30" w:hRule="atLeast"/>
          <w:tblHeader/>
        </w:trPr>
        <w:tc>
          <w:tcPr>
            <w:tcW w:w="1977" w:type="dxa"/>
            <w:shd w:val="clear" w:color="auto" w:fill="259073" w:themeFill="accent2"/>
            <w:tcMar>
              <w:top w:w="6" w:type="dxa"/>
              <w:left w:w="6" w:type="dxa"/>
              <w:bottom w:w="0" w:type="dxa"/>
              <w:right w:w="6" w:type="dxa"/>
            </w:tcMar>
            <w:vAlign w:val="center"/>
          </w:tcPr>
          <w:p>
            <w:pPr>
              <w:spacing w:after="0" w:line="240" w:lineRule="auto"/>
              <w:jc w:val="center"/>
              <w:textAlignment w:val="center"/>
              <w:rPr>
                <w:rFonts w:cs="Arial"/>
                <w:color w:val="FFFFFF"/>
                <w:szCs w:val="24"/>
              </w:rPr>
            </w:pPr>
            <w:r>
              <w:rPr>
                <w:rFonts w:cs="Arial"/>
                <w:color w:val="FFFFFF"/>
                <w:kern w:val="24"/>
                <w:szCs w:val="24"/>
              </w:rPr>
              <w:t>Perspektif</w:t>
            </w:r>
          </w:p>
        </w:tc>
        <w:tc>
          <w:tcPr>
            <w:tcW w:w="4961" w:type="dxa"/>
            <w:shd w:val="clear" w:color="auto" w:fill="259073" w:themeFill="accent2"/>
            <w:tcMar>
              <w:top w:w="6" w:type="dxa"/>
              <w:left w:w="6" w:type="dxa"/>
              <w:bottom w:w="0" w:type="dxa"/>
              <w:right w:w="6" w:type="dxa"/>
            </w:tcMar>
            <w:vAlign w:val="center"/>
          </w:tcPr>
          <w:p>
            <w:pPr>
              <w:spacing w:after="0" w:line="240" w:lineRule="auto"/>
              <w:jc w:val="center"/>
              <w:textAlignment w:val="center"/>
              <w:rPr>
                <w:rFonts w:cs="Arial"/>
                <w:color w:val="FFFFFF"/>
                <w:szCs w:val="24"/>
              </w:rPr>
            </w:pPr>
            <w:r>
              <w:rPr>
                <w:rFonts w:cs="Arial"/>
                <w:color w:val="FFFFFF"/>
                <w:kern w:val="24"/>
                <w:szCs w:val="24"/>
              </w:rPr>
              <w:t>Sasaran Strategis</w:t>
            </w:r>
          </w:p>
        </w:tc>
        <w:tc>
          <w:tcPr>
            <w:tcW w:w="699" w:type="dxa"/>
            <w:shd w:val="clear" w:color="auto" w:fill="259073" w:themeFill="accent2"/>
            <w:tcMar>
              <w:top w:w="6" w:type="dxa"/>
              <w:left w:w="6" w:type="dxa"/>
              <w:bottom w:w="0" w:type="dxa"/>
              <w:right w:w="6" w:type="dxa"/>
            </w:tcMar>
            <w:vAlign w:val="center"/>
          </w:tcPr>
          <w:p>
            <w:pPr>
              <w:spacing w:after="0" w:line="240" w:lineRule="auto"/>
              <w:jc w:val="center"/>
              <w:textAlignment w:val="center"/>
              <w:rPr>
                <w:rFonts w:cs="Arial"/>
                <w:color w:val="FFFFFF"/>
                <w:szCs w:val="24"/>
              </w:rPr>
            </w:pPr>
            <w:r>
              <w:rPr>
                <w:rFonts w:cs="Arial"/>
                <w:color w:val="FFFFFF"/>
                <w:kern w:val="24"/>
                <w:szCs w:val="24"/>
              </w:rPr>
              <w:t>No</w:t>
            </w:r>
          </w:p>
        </w:tc>
        <w:tc>
          <w:tcPr>
            <w:tcW w:w="5822" w:type="dxa"/>
            <w:shd w:val="clear" w:color="auto" w:fill="259073" w:themeFill="accent2"/>
            <w:tcMar>
              <w:top w:w="6" w:type="dxa"/>
              <w:left w:w="6" w:type="dxa"/>
              <w:bottom w:w="0" w:type="dxa"/>
              <w:right w:w="6" w:type="dxa"/>
            </w:tcMar>
            <w:vAlign w:val="center"/>
          </w:tcPr>
          <w:p>
            <w:pPr>
              <w:spacing w:after="0" w:line="240" w:lineRule="auto"/>
              <w:jc w:val="center"/>
              <w:textAlignment w:val="center"/>
              <w:rPr>
                <w:rFonts w:cs="Arial"/>
                <w:color w:val="FFFFFF"/>
                <w:szCs w:val="24"/>
              </w:rPr>
            </w:pPr>
            <w:r>
              <w:rPr>
                <w:rFonts w:cs="Arial"/>
                <w:color w:val="FFFFFF"/>
                <w:kern w:val="24"/>
                <w:szCs w:val="24"/>
              </w:rPr>
              <w:t>KPI</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restart"/>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i/>
                <w:color w:val="000000"/>
                <w:kern w:val="24"/>
              </w:rPr>
              <w:t>Stakeholder</w:t>
            </w:r>
          </w:p>
        </w:tc>
        <w:tc>
          <w:tcPr>
            <w:tcW w:w="4961" w:type="dxa"/>
            <w:vMerge w:val="restart"/>
            <w:shd w:val="clear" w:color="auto" w:fill="auto"/>
            <w:tcMar>
              <w:top w:w="6" w:type="dxa"/>
              <w:left w:w="6" w:type="dxa"/>
              <w:bottom w:w="0" w:type="dxa"/>
              <w:right w:w="6" w:type="dxa"/>
            </w:tcMar>
            <w:vAlign w:val="center"/>
          </w:tcPr>
          <w:p>
            <w:pPr>
              <w:spacing w:after="0" w:line="240" w:lineRule="auto"/>
              <w:textAlignment w:val="center"/>
              <w:rPr>
                <w:rFonts w:cs="Arial"/>
              </w:rPr>
            </w:pPr>
            <w:r>
              <w:rPr>
                <w:rFonts w:cs="Arial"/>
                <w:color w:val="000000"/>
                <w:kern w:val="24"/>
                <w:lang w:val="sv-SE"/>
              </w:rPr>
              <w:t>Terwujudnya peningkatan indikator kesehatan Jawa Barat</w:t>
            </w: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1</w:t>
            </w:r>
          </w:p>
        </w:tc>
        <w:tc>
          <w:tcPr>
            <w:tcW w:w="5822" w:type="dxa"/>
            <w:shd w:val="clear" w:color="auto" w:fill="auto"/>
            <w:tcMar>
              <w:top w:w="6" w:type="dxa"/>
              <w:left w:w="6" w:type="dxa"/>
              <w:bottom w:w="0" w:type="dxa"/>
              <w:right w:w="6" w:type="dxa"/>
            </w:tcMar>
          </w:tcPr>
          <w:p>
            <w:pPr>
              <w:spacing w:after="0"/>
              <w:rPr>
                <w:lang w:val="id-ID"/>
              </w:rPr>
            </w:pPr>
            <w:r>
              <w:t>AKI</w:t>
            </w:r>
            <w:r>
              <w:rPr>
                <w:lang w:val="id-ID"/>
              </w:rPr>
              <w:t xml:space="preserve"> – Maternal Mortality Ratio (MMR)</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2</w:t>
            </w:r>
          </w:p>
        </w:tc>
        <w:tc>
          <w:tcPr>
            <w:tcW w:w="5822" w:type="dxa"/>
            <w:shd w:val="clear" w:color="auto" w:fill="auto"/>
            <w:tcMar>
              <w:top w:w="6" w:type="dxa"/>
              <w:left w:w="6" w:type="dxa"/>
              <w:bottom w:w="0" w:type="dxa"/>
              <w:right w:w="6" w:type="dxa"/>
            </w:tcMar>
          </w:tcPr>
          <w:p>
            <w:pPr>
              <w:spacing w:after="0"/>
              <w:rPr>
                <w:lang w:val="id-ID"/>
              </w:rPr>
            </w:pPr>
            <w:r>
              <w:t>AKB</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rPr>
              <w:t>3</w:t>
            </w:r>
          </w:p>
        </w:tc>
        <w:tc>
          <w:tcPr>
            <w:tcW w:w="5822" w:type="dxa"/>
            <w:shd w:val="clear" w:color="auto" w:fill="auto"/>
            <w:tcMar>
              <w:top w:w="6" w:type="dxa"/>
              <w:left w:w="6" w:type="dxa"/>
              <w:bottom w:w="0" w:type="dxa"/>
              <w:right w:w="6" w:type="dxa"/>
            </w:tcMar>
          </w:tcPr>
          <w:p>
            <w:pPr>
              <w:spacing w:after="0"/>
            </w:pPr>
            <w:r>
              <w:rPr>
                <w:lang w:val="id-ID"/>
              </w:rPr>
              <w:t xml:space="preserve">Insidensi </w:t>
            </w:r>
            <w:r>
              <w:t>kanker serviks</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72" w:hRule="atLeast"/>
        </w:trPr>
        <w:tc>
          <w:tcPr>
            <w:tcW w:w="1977" w:type="dxa"/>
            <w:vMerge w:val="continue"/>
            <w:vAlign w:val="center"/>
          </w:tcPr>
          <w:p>
            <w:pPr>
              <w:spacing w:after="0" w:line="240" w:lineRule="auto"/>
              <w:rPr>
                <w:rFonts w:cs="Arial"/>
              </w:rPr>
            </w:pPr>
          </w:p>
        </w:tc>
        <w:tc>
          <w:tcPr>
            <w:tcW w:w="4961" w:type="dxa"/>
            <w:vMerge w:val="restart"/>
            <w:shd w:val="clear" w:color="auto" w:fill="auto"/>
            <w:tcMar>
              <w:top w:w="6" w:type="dxa"/>
              <w:left w:w="6" w:type="dxa"/>
              <w:bottom w:w="0" w:type="dxa"/>
              <w:right w:w="6" w:type="dxa"/>
            </w:tcMar>
            <w:vAlign w:val="center"/>
          </w:tcPr>
          <w:p>
            <w:pPr>
              <w:spacing w:after="0" w:line="240" w:lineRule="auto"/>
              <w:textAlignment w:val="center"/>
              <w:rPr>
                <w:rFonts w:cs="Arial"/>
              </w:rPr>
            </w:pPr>
            <w:r>
              <w:rPr>
                <w:rFonts w:cs="Arial"/>
                <w:color w:val="000000"/>
                <w:kern w:val="24"/>
              </w:rPr>
              <w:t>Terwujudnya RSHS</w:t>
            </w:r>
            <w:r>
              <w:rPr>
                <w:rFonts w:cs="Arial"/>
                <w:color w:val="FF0000"/>
                <w:kern w:val="24"/>
              </w:rPr>
              <w:t xml:space="preserve"> </w:t>
            </w:r>
            <w:r>
              <w:rPr>
                <w:rFonts w:cs="Arial"/>
                <w:color w:val="000000"/>
                <w:kern w:val="24"/>
              </w:rPr>
              <w:t>sebagai pilihan utama masyarakat</w:t>
            </w: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4</w:t>
            </w:r>
          </w:p>
        </w:tc>
        <w:tc>
          <w:tcPr>
            <w:tcW w:w="5822" w:type="dxa"/>
            <w:shd w:val="clear" w:color="auto" w:fill="auto"/>
            <w:tcMar>
              <w:top w:w="6" w:type="dxa"/>
              <w:left w:w="6" w:type="dxa"/>
              <w:bottom w:w="0" w:type="dxa"/>
              <w:right w:w="6" w:type="dxa"/>
            </w:tcMar>
          </w:tcPr>
          <w:p>
            <w:pPr>
              <w:spacing w:after="0"/>
            </w:pPr>
            <w:r>
              <w:rPr>
                <w:lang w:val="id-ID"/>
              </w:rPr>
              <w:t>P</w:t>
            </w:r>
            <w:r>
              <w:t>referensi masyarakat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72"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5</w:t>
            </w:r>
          </w:p>
        </w:tc>
        <w:tc>
          <w:tcPr>
            <w:tcW w:w="5822" w:type="dxa"/>
            <w:shd w:val="clear" w:color="auto" w:fill="auto"/>
            <w:tcMar>
              <w:top w:w="6" w:type="dxa"/>
              <w:left w:w="6" w:type="dxa"/>
              <w:bottom w:w="0" w:type="dxa"/>
              <w:right w:w="6" w:type="dxa"/>
            </w:tcMar>
          </w:tcPr>
          <w:p>
            <w:pPr>
              <w:spacing w:after="0"/>
            </w:pPr>
            <w:r>
              <w:t>Akreditasi RS</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6</w:t>
            </w:r>
          </w:p>
        </w:tc>
        <w:tc>
          <w:tcPr>
            <w:tcW w:w="5822" w:type="dxa"/>
            <w:shd w:val="clear" w:color="auto" w:fill="auto"/>
            <w:tcMar>
              <w:top w:w="6" w:type="dxa"/>
              <w:left w:w="6" w:type="dxa"/>
              <w:bottom w:w="0" w:type="dxa"/>
              <w:right w:w="6" w:type="dxa"/>
            </w:tcMar>
          </w:tcPr>
          <w:p>
            <w:pPr>
              <w:spacing w:after="0"/>
            </w:pPr>
            <w:r>
              <w:t>Tingkat kepuasan pelanggan</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7</w:t>
            </w:r>
          </w:p>
        </w:tc>
        <w:tc>
          <w:tcPr>
            <w:tcW w:w="5822" w:type="dxa"/>
            <w:shd w:val="clear" w:color="auto" w:fill="auto"/>
            <w:tcMar>
              <w:top w:w="6" w:type="dxa"/>
              <w:left w:w="6" w:type="dxa"/>
              <w:bottom w:w="0" w:type="dxa"/>
              <w:right w:w="6" w:type="dxa"/>
            </w:tcMar>
          </w:tcPr>
          <w:p>
            <w:pPr>
              <w:spacing w:after="0"/>
            </w:pPr>
            <w:r>
              <w:t>Tingkat kepuasan peserta didik</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11" w:hRule="atLeast"/>
        </w:trPr>
        <w:tc>
          <w:tcPr>
            <w:tcW w:w="1977" w:type="dxa"/>
            <w:vMerge w:val="restart"/>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Proses Bisnis Internal</w:t>
            </w:r>
          </w:p>
        </w:tc>
        <w:tc>
          <w:tcPr>
            <w:tcW w:w="4961" w:type="dxa"/>
            <w:vMerge w:val="restart"/>
            <w:shd w:val="clear" w:color="auto" w:fill="auto"/>
            <w:tcMar>
              <w:top w:w="6" w:type="dxa"/>
              <w:left w:w="6" w:type="dxa"/>
              <w:bottom w:w="0" w:type="dxa"/>
              <w:right w:w="6" w:type="dxa"/>
            </w:tcMar>
            <w:vAlign w:val="center"/>
          </w:tcPr>
          <w:p>
            <w:pPr>
              <w:spacing w:after="0" w:line="240" w:lineRule="auto"/>
              <w:textAlignment w:val="center"/>
              <w:rPr>
                <w:rFonts w:cs="Arial"/>
              </w:rPr>
            </w:pPr>
            <w:r>
              <w:rPr>
                <w:rFonts w:cs="Arial"/>
                <w:color w:val="000000"/>
                <w:kern w:val="24"/>
              </w:rPr>
              <w:t>Terwujudnya layanan unggulan</w:t>
            </w: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8</w:t>
            </w:r>
          </w:p>
        </w:tc>
        <w:tc>
          <w:tcPr>
            <w:tcW w:w="5822" w:type="dxa"/>
            <w:shd w:val="clear" w:color="auto" w:fill="auto"/>
            <w:tcMar>
              <w:top w:w="6" w:type="dxa"/>
              <w:left w:w="6" w:type="dxa"/>
              <w:bottom w:w="0" w:type="dxa"/>
              <w:right w:w="6" w:type="dxa"/>
            </w:tcMar>
          </w:tcPr>
          <w:p>
            <w:pPr>
              <w:spacing w:after="0"/>
              <w:rPr>
                <w:lang w:val="id-ID"/>
              </w:rPr>
            </w:pPr>
            <w:r>
              <w:t>% keberhasilan penangan kasus severity level 2 dan 3</w:t>
            </w:r>
            <w:r>
              <w:rPr>
                <w:lang w:val="id-ID"/>
              </w:rPr>
              <w:t xml:space="preserve"> pada layanan unggulan</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vMerge w:val="continue"/>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9</w:t>
            </w:r>
          </w:p>
        </w:tc>
        <w:tc>
          <w:tcPr>
            <w:tcW w:w="5822" w:type="dxa"/>
            <w:shd w:val="clear" w:color="auto" w:fill="auto"/>
            <w:tcMar>
              <w:top w:w="6" w:type="dxa"/>
              <w:left w:w="6" w:type="dxa"/>
              <w:bottom w:w="0" w:type="dxa"/>
              <w:right w:w="6" w:type="dxa"/>
            </w:tcMar>
          </w:tcPr>
          <w:p>
            <w:pPr>
              <w:spacing w:after="0"/>
            </w:pPr>
            <w:r>
              <w:t>NDR rumah sakit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line="240" w:lineRule="auto"/>
              <w:rPr>
                <w:rFonts w:cs="Arial"/>
              </w:rPr>
            </w:pPr>
          </w:p>
        </w:tc>
        <w:tc>
          <w:tcPr>
            <w:tcW w:w="4961" w:type="dxa"/>
            <w:shd w:val="clear" w:color="auto" w:fill="auto"/>
            <w:tcMar>
              <w:top w:w="6" w:type="dxa"/>
              <w:left w:w="6" w:type="dxa"/>
              <w:bottom w:w="0" w:type="dxa"/>
              <w:right w:w="6" w:type="dxa"/>
            </w:tcMar>
            <w:vAlign w:val="center"/>
          </w:tcPr>
          <w:p>
            <w:pPr>
              <w:spacing w:after="0" w:line="240" w:lineRule="auto"/>
              <w:textAlignment w:val="center"/>
              <w:rPr>
                <w:rFonts w:cs="Arial"/>
              </w:rPr>
            </w:pPr>
            <w:r>
              <w:rPr>
                <w:rFonts w:cs="Arial"/>
                <w:color w:val="000000"/>
                <w:kern w:val="24"/>
              </w:rPr>
              <w:t>Terwujudnya penyempurnaan sistem rujukan dalam jejaring kesehatan</w:t>
            </w: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color w:val="000000"/>
                <w:kern w:val="24"/>
              </w:rPr>
              <w:t>10</w:t>
            </w:r>
          </w:p>
        </w:tc>
        <w:tc>
          <w:tcPr>
            <w:tcW w:w="5822" w:type="dxa"/>
            <w:shd w:val="clear" w:color="auto" w:fill="auto"/>
            <w:tcMar>
              <w:top w:w="6" w:type="dxa"/>
              <w:left w:w="6" w:type="dxa"/>
              <w:bottom w:w="0" w:type="dxa"/>
              <w:right w:w="6" w:type="dxa"/>
            </w:tcMar>
          </w:tcPr>
          <w:p>
            <w:pPr>
              <w:spacing w:after="0"/>
            </w:pPr>
            <w:r>
              <w:t>% kasus rujukan yang tepat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72" w:hRule="atLeast"/>
        </w:trPr>
        <w:tc>
          <w:tcPr>
            <w:tcW w:w="1977" w:type="dxa"/>
            <w:vMerge w:val="continue"/>
            <w:vAlign w:val="center"/>
          </w:tcPr>
          <w:p>
            <w:pPr>
              <w:spacing w:after="0" w:line="240" w:lineRule="auto"/>
              <w:rPr>
                <w:rFonts w:cs="Arial"/>
              </w:rPr>
            </w:pPr>
          </w:p>
        </w:tc>
        <w:tc>
          <w:tcPr>
            <w:tcW w:w="4961" w:type="dxa"/>
            <w:shd w:val="clear" w:color="auto" w:fill="auto"/>
            <w:tcMar>
              <w:top w:w="6" w:type="dxa"/>
              <w:left w:w="6" w:type="dxa"/>
              <w:bottom w:w="0" w:type="dxa"/>
              <w:right w:w="6" w:type="dxa"/>
            </w:tcMar>
            <w:vAlign w:val="center"/>
          </w:tcPr>
          <w:p>
            <w:pPr>
              <w:spacing w:after="0" w:line="240" w:lineRule="auto"/>
              <w:textAlignment w:val="center"/>
              <w:rPr>
                <w:rFonts w:cs="Arial"/>
              </w:rPr>
            </w:pPr>
            <w:r>
              <w:rPr>
                <w:rFonts w:cs="Arial"/>
                <w:color w:val="000000"/>
                <w:kern w:val="24"/>
              </w:rPr>
              <w:t>Terwujudnya kemitraan strategis (ABGCM)</w:t>
            </w:r>
          </w:p>
        </w:tc>
        <w:tc>
          <w:tcPr>
            <w:tcW w:w="699" w:type="dxa"/>
            <w:shd w:val="clear" w:color="auto" w:fill="auto"/>
            <w:tcMar>
              <w:top w:w="6" w:type="dxa"/>
              <w:left w:w="6" w:type="dxa"/>
              <w:bottom w:w="0" w:type="dxa"/>
              <w:right w:w="6" w:type="dxa"/>
            </w:tcMar>
            <w:vAlign w:val="center"/>
          </w:tcPr>
          <w:p>
            <w:pPr>
              <w:spacing w:after="0" w:line="240" w:lineRule="auto"/>
              <w:jc w:val="center"/>
              <w:textAlignment w:val="center"/>
              <w:rPr>
                <w:rFonts w:cs="Arial"/>
              </w:rPr>
            </w:pPr>
            <w:r>
              <w:rPr>
                <w:rFonts w:cs="Arial"/>
              </w:rPr>
              <w:t>11</w:t>
            </w:r>
          </w:p>
        </w:tc>
        <w:tc>
          <w:tcPr>
            <w:tcW w:w="5822" w:type="dxa"/>
            <w:shd w:val="clear" w:color="auto" w:fill="auto"/>
            <w:tcMar>
              <w:top w:w="6" w:type="dxa"/>
              <w:left w:w="6" w:type="dxa"/>
              <w:bottom w:w="0" w:type="dxa"/>
              <w:right w:w="6" w:type="dxa"/>
            </w:tcMar>
          </w:tcPr>
          <w:p>
            <w:pPr>
              <w:spacing w:after="0"/>
            </w:pPr>
            <w:r>
              <w:t>Jumlah KSO alat medik&gt;Rp.3M</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02" w:hRule="atLeast"/>
        </w:trPr>
        <w:tc>
          <w:tcPr>
            <w:tcW w:w="1977" w:type="dxa"/>
            <w:vMerge w:val="continue"/>
            <w:vAlign w:val="center"/>
          </w:tcPr>
          <w:p>
            <w:pPr>
              <w:spacing w:after="0"/>
              <w:jc w:val="center"/>
              <w:rPr>
                <w:rFonts w:cs="Arial"/>
              </w:rPr>
            </w:pPr>
          </w:p>
        </w:tc>
        <w:tc>
          <w:tcPr>
            <w:tcW w:w="4961" w:type="dxa"/>
            <w:shd w:val="clear" w:color="auto" w:fill="auto"/>
            <w:tcMar>
              <w:top w:w="6" w:type="dxa"/>
              <w:left w:w="6" w:type="dxa"/>
              <w:bottom w:w="0" w:type="dxa"/>
              <w:right w:w="6" w:type="dxa"/>
            </w:tcMar>
            <w:vAlign w:val="center"/>
          </w:tcPr>
          <w:p>
            <w:pPr>
              <w:spacing w:after="0" w:line="240" w:lineRule="auto"/>
              <w:rPr>
                <w:rFonts w:cs="Arial"/>
              </w:rPr>
            </w:pPr>
          </w:p>
        </w:tc>
        <w:tc>
          <w:tcPr>
            <w:tcW w:w="699" w:type="dxa"/>
            <w:shd w:val="clear" w:color="auto" w:fill="auto"/>
            <w:tcMar>
              <w:top w:w="6" w:type="dxa"/>
              <w:left w:w="6" w:type="dxa"/>
              <w:bottom w:w="0" w:type="dxa"/>
              <w:right w:w="6" w:type="dxa"/>
            </w:tcMar>
            <w:vAlign w:val="center"/>
          </w:tcPr>
          <w:p>
            <w:pPr>
              <w:spacing w:after="0"/>
              <w:jc w:val="center"/>
            </w:pPr>
            <w:r>
              <w:t>12</w:t>
            </w:r>
          </w:p>
        </w:tc>
        <w:tc>
          <w:tcPr>
            <w:tcW w:w="5822" w:type="dxa"/>
            <w:shd w:val="clear" w:color="auto" w:fill="auto"/>
            <w:tcMar>
              <w:top w:w="6" w:type="dxa"/>
              <w:left w:w="6" w:type="dxa"/>
              <w:bottom w:w="0" w:type="dxa"/>
              <w:right w:w="6" w:type="dxa"/>
            </w:tcMar>
          </w:tcPr>
          <w:p>
            <w:pPr>
              <w:spacing w:after="0"/>
              <w:rPr>
                <w:color w:val="FF0000"/>
              </w:rPr>
            </w:pPr>
            <w:r>
              <w:t xml:space="preserve">Jumlah PPK (panduan praktek klinik) yang diimplementasikan di faskes jejaring </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02" w:hRule="atLeast"/>
        </w:trPr>
        <w:tc>
          <w:tcPr>
            <w:tcW w:w="1977" w:type="dxa"/>
            <w:vMerge w:val="continue"/>
            <w:vAlign w:val="center"/>
          </w:tcPr>
          <w:p>
            <w:pPr>
              <w:spacing w:after="0"/>
              <w:jc w:val="center"/>
            </w:pPr>
          </w:p>
        </w:tc>
        <w:tc>
          <w:tcPr>
            <w:tcW w:w="4961" w:type="dxa"/>
            <w:shd w:val="clear" w:color="auto" w:fill="auto"/>
            <w:tcMar>
              <w:top w:w="6" w:type="dxa"/>
              <w:left w:w="6" w:type="dxa"/>
              <w:bottom w:w="0" w:type="dxa"/>
              <w:right w:w="6" w:type="dxa"/>
            </w:tcMar>
            <w:vAlign w:val="center"/>
          </w:tcPr>
          <w:p>
            <w:pPr>
              <w:spacing w:after="0"/>
            </w:pPr>
            <w:r>
              <w:t>Terwujudnya integrasi layanan, pendidikan dan penelitian</w:t>
            </w:r>
          </w:p>
        </w:tc>
        <w:tc>
          <w:tcPr>
            <w:tcW w:w="699" w:type="dxa"/>
            <w:shd w:val="clear" w:color="auto" w:fill="auto"/>
            <w:tcMar>
              <w:top w:w="6" w:type="dxa"/>
              <w:left w:w="6" w:type="dxa"/>
              <w:bottom w:w="0" w:type="dxa"/>
              <w:right w:w="6" w:type="dxa"/>
            </w:tcMar>
            <w:vAlign w:val="center"/>
          </w:tcPr>
          <w:p>
            <w:pPr>
              <w:spacing w:after="0"/>
              <w:jc w:val="center"/>
            </w:pPr>
            <w:r>
              <w:t>13</w:t>
            </w:r>
          </w:p>
        </w:tc>
        <w:tc>
          <w:tcPr>
            <w:tcW w:w="5822" w:type="dxa"/>
            <w:shd w:val="clear" w:color="auto" w:fill="auto"/>
            <w:tcMar>
              <w:top w:w="6" w:type="dxa"/>
              <w:left w:w="6" w:type="dxa"/>
              <w:bottom w:w="0" w:type="dxa"/>
              <w:right w:w="6" w:type="dxa"/>
            </w:tcMar>
          </w:tcPr>
          <w:p>
            <w:pPr>
              <w:spacing w:after="0"/>
            </w:pPr>
            <w:r>
              <w:t>%Kepatuhan CP yang sejalan dengan kurikulum pendidikan</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02" w:hRule="atLeast"/>
        </w:trPr>
        <w:tc>
          <w:tcPr>
            <w:tcW w:w="1977" w:type="dxa"/>
            <w:vMerge w:val="continue"/>
            <w:vAlign w:val="center"/>
          </w:tcPr>
          <w:p>
            <w:pPr>
              <w:spacing w:after="0"/>
              <w:jc w:val="center"/>
            </w:pPr>
          </w:p>
        </w:tc>
        <w:tc>
          <w:tcPr>
            <w:tcW w:w="4961" w:type="dxa"/>
            <w:shd w:val="clear" w:color="auto" w:fill="auto"/>
            <w:tcMar>
              <w:top w:w="6" w:type="dxa"/>
              <w:left w:w="6" w:type="dxa"/>
              <w:bottom w:w="0" w:type="dxa"/>
              <w:right w:w="6" w:type="dxa"/>
            </w:tcMar>
            <w:vAlign w:val="center"/>
          </w:tcPr>
          <w:p>
            <w:pPr>
              <w:spacing w:after="0"/>
            </w:pPr>
            <w:r>
              <w:t>Terwujudnya pengarus-utamaan riset pusat studi untuk kesehatan masyarakat</w:t>
            </w:r>
          </w:p>
        </w:tc>
        <w:tc>
          <w:tcPr>
            <w:tcW w:w="699" w:type="dxa"/>
            <w:shd w:val="clear" w:color="auto" w:fill="auto"/>
            <w:tcMar>
              <w:top w:w="6" w:type="dxa"/>
              <w:left w:w="6" w:type="dxa"/>
              <w:bottom w:w="0" w:type="dxa"/>
              <w:right w:w="6" w:type="dxa"/>
            </w:tcMar>
            <w:vAlign w:val="center"/>
          </w:tcPr>
          <w:p>
            <w:pPr>
              <w:spacing w:after="0"/>
              <w:jc w:val="center"/>
            </w:pPr>
            <w:r>
              <w:t>14</w:t>
            </w:r>
          </w:p>
        </w:tc>
        <w:tc>
          <w:tcPr>
            <w:tcW w:w="5822" w:type="dxa"/>
            <w:shd w:val="clear" w:color="auto" w:fill="auto"/>
            <w:tcMar>
              <w:top w:w="6" w:type="dxa"/>
              <w:left w:w="6" w:type="dxa"/>
              <w:bottom w:w="0" w:type="dxa"/>
              <w:right w:w="6" w:type="dxa"/>
            </w:tcMar>
            <w:vAlign w:val="center"/>
          </w:tcPr>
          <w:p>
            <w:pPr>
              <w:spacing w:after="0"/>
            </w:pPr>
            <w:r>
              <w:t>Jumlah SPO bersama RSHS-FKUP yang diimplementasika</w:t>
            </w:r>
            <w:r>
              <w:rPr>
                <w:lang w:val="id-ID"/>
              </w:rPr>
              <w:t>n</w:t>
            </w:r>
            <w:r>
              <w:t xml:space="preserve"> </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30" w:hRule="atLeast"/>
        </w:trPr>
        <w:tc>
          <w:tcPr>
            <w:tcW w:w="1977" w:type="dxa"/>
            <w:vMerge w:val="continue"/>
            <w:vAlign w:val="center"/>
          </w:tcPr>
          <w:p>
            <w:pPr>
              <w:spacing w:after="0"/>
              <w:jc w:val="center"/>
            </w:pPr>
          </w:p>
        </w:tc>
        <w:tc>
          <w:tcPr>
            <w:tcW w:w="4961" w:type="dxa"/>
            <w:shd w:val="clear" w:color="auto" w:fill="auto"/>
            <w:tcMar>
              <w:top w:w="6" w:type="dxa"/>
              <w:left w:w="6" w:type="dxa"/>
              <w:bottom w:w="0" w:type="dxa"/>
              <w:right w:w="6" w:type="dxa"/>
            </w:tcMar>
            <w:vAlign w:val="center"/>
          </w:tcPr>
          <w:p>
            <w:pPr>
              <w:spacing w:after="0"/>
            </w:pPr>
            <w:r>
              <w:t>Terwujudnya pengarus-utamaan riset pusat studi untuk kesehatan masyarakat</w:t>
            </w:r>
          </w:p>
        </w:tc>
        <w:tc>
          <w:tcPr>
            <w:tcW w:w="699" w:type="dxa"/>
            <w:shd w:val="clear" w:color="auto" w:fill="auto"/>
            <w:tcMar>
              <w:top w:w="6" w:type="dxa"/>
              <w:left w:w="6" w:type="dxa"/>
              <w:bottom w:w="0" w:type="dxa"/>
              <w:right w:w="6" w:type="dxa"/>
            </w:tcMar>
            <w:vAlign w:val="center"/>
          </w:tcPr>
          <w:p>
            <w:pPr>
              <w:spacing w:after="0"/>
              <w:jc w:val="center"/>
            </w:pPr>
            <w:r>
              <w:t>15</w:t>
            </w:r>
          </w:p>
        </w:tc>
        <w:tc>
          <w:tcPr>
            <w:tcW w:w="5822" w:type="dxa"/>
            <w:shd w:val="clear" w:color="auto" w:fill="auto"/>
            <w:tcMar>
              <w:top w:w="6" w:type="dxa"/>
              <w:left w:w="6" w:type="dxa"/>
              <w:bottom w:w="0" w:type="dxa"/>
              <w:right w:w="6" w:type="dxa"/>
            </w:tcMar>
            <w:vAlign w:val="center"/>
          </w:tcPr>
          <w:p>
            <w:pPr>
              <w:spacing w:after="0"/>
            </w:pPr>
            <w:r>
              <w:t>Jumlah publikasi riset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restart"/>
            <w:shd w:val="clear" w:color="auto" w:fill="auto"/>
            <w:tcMar>
              <w:top w:w="6" w:type="dxa"/>
              <w:left w:w="6" w:type="dxa"/>
              <w:bottom w:w="0" w:type="dxa"/>
              <w:right w:w="6" w:type="dxa"/>
            </w:tcMar>
            <w:vAlign w:val="center"/>
          </w:tcPr>
          <w:p>
            <w:pPr>
              <w:spacing w:after="0"/>
              <w:jc w:val="center"/>
              <w:rPr>
                <w:i/>
              </w:rPr>
            </w:pPr>
            <w:r>
              <w:rPr>
                <w:i/>
              </w:rPr>
              <w:t>Learning &amp; Growth</w:t>
            </w:r>
          </w:p>
        </w:tc>
        <w:tc>
          <w:tcPr>
            <w:tcW w:w="4961" w:type="dxa"/>
            <w:shd w:val="clear" w:color="auto" w:fill="auto"/>
            <w:tcMar>
              <w:top w:w="6" w:type="dxa"/>
              <w:left w:w="6" w:type="dxa"/>
              <w:bottom w:w="0" w:type="dxa"/>
              <w:right w:w="6" w:type="dxa"/>
            </w:tcMar>
            <w:vAlign w:val="center"/>
          </w:tcPr>
          <w:p>
            <w:pPr>
              <w:spacing w:after="0"/>
            </w:pPr>
            <w:r>
              <w:t>Terwujudnya sarana prasarana yang andal</w:t>
            </w:r>
          </w:p>
        </w:tc>
        <w:tc>
          <w:tcPr>
            <w:tcW w:w="699" w:type="dxa"/>
            <w:shd w:val="clear" w:color="auto" w:fill="auto"/>
            <w:tcMar>
              <w:top w:w="6" w:type="dxa"/>
              <w:left w:w="6" w:type="dxa"/>
              <w:bottom w:w="0" w:type="dxa"/>
              <w:right w:w="6" w:type="dxa"/>
            </w:tcMar>
            <w:vAlign w:val="center"/>
          </w:tcPr>
          <w:p>
            <w:pPr>
              <w:spacing w:after="0"/>
              <w:jc w:val="center"/>
            </w:pPr>
            <w:r>
              <w:t>16</w:t>
            </w:r>
          </w:p>
        </w:tc>
        <w:tc>
          <w:tcPr>
            <w:tcW w:w="5822" w:type="dxa"/>
            <w:shd w:val="clear" w:color="auto" w:fill="auto"/>
            <w:tcMar>
              <w:top w:w="6" w:type="dxa"/>
              <w:left w:w="6" w:type="dxa"/>
              <w:bottom w:w="0" w:type="dxa"/>
              <w:right w:w="6" w:type="dxa"/>
            </w:tcMar>
            <w:vAlign w:val="center"/>
          </w:tcPr>
          <w:p>
            <w:pPr>
              <w:spacing w:after="0"/>
            </w:pPr>
            <w:r>
              <w:t>Tingkat keandalan sarpras (</w:t>
            </w:r>
            <w:r>
              <w:rPr>
                <w:i/>
              </w:rPr>
              <w:t>Overall Equipment Effectiveness</w:t>
            </w:r>
            <w:r>
              <w:t>/ OEE)</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continue"/>
            <w:vAlign w:val="center"/>
          </w:tcPr>
          <w:p>
            <w:pPr>
              <w:spacing w:after="0"/>
              <w:jc w:val="center"/>
            </w:pPr>
          </w:p>
        </w:tc>
        <w:tc>
          <w:tcPr>
            <w:tcW w:w="4961" w:type="dxa"/>
            <w:shd w:val="clear" w:color="auto" w:fill="auto"/>
            <w:tcMar>
              <w:top w:w="6" w:type="dxa"/>
              <w:left w:w="6" w:type="dxa"/>
              <w:bottom w:w="0" w:type="dxa"/>
              <w:right w:w="6" w:type="dxa"/>
            </w:tcMar>
            <w:vAlign w:val="center"/>
          </w:tcPr>
          <w:p>
            <w:pPr>
              <w:spacing w:after="0"/>
            </w:pPr>
            <w:r>
              <w:t>Terwujudnya pemberdayaan SDM Unggul</w:t>
            </w:r>
          </w:p>
        </w:tc>
        <w:tc>
          <w:tcPr>
            <w:tcW w:w="699" w:type="dxa"/>
            <w:shd w:val="clear" w:color="auto" w:fill="auto"/>
            <w:tcMar>
              <w:top w:w="6" w:type="dxa"/>
              <w:left w:w="6" w:type="dxa"/>
              <w:bottom w:w="0" w:type="dxa"/>
              <w:right w:w="6" w:type="dxa"/>
            </w:tcMar>
            <w:vAlign w:val="center"/>
          </w:tcPr>
          <w:p>
            <w:pPr>
              <w:spacing w:after="0"/>
              <w:jc w:val="center"/>
            </w:pPr>
            <w:r>
              <w:t>17</w:t>
            </w:r>
          </w:p>
        </w:tc>
        <w:tc>
          <w:tcPr>
            <w:tcW w:w="5822" w:type="dxa"/>
            <w:shd w:val="clear" w:color="auto" w:fill="auto"/>
            <w:tcMar>
              <w:top w:w="6" w:type="dxa"/>
              <w:left w:w="6" w:type="dxa"/>
              <w:bottom w:w="0" w:type="dxa"/>
              <w:right w:w="6" w:type="dxa"/>
            </w:tcMar>
            <w:vAlign w:val="center"/>
          </w:tcPr>
          <w:p>
            <w:pPr>
              <w:spacing w:after="0"/>
            </w:pPr>
            <w:r>
              <w:t>% kasus ditangani DPJP</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5" w:hRule="atLeast"/>
        </w:trPr>
        <w:tc>
          <w:tcPr>
            <w:tcW w:w="1977" w:type="dxa"/>
            <w:vMerge w:val="restart"/>
            <w:shd w:val="clear" w:color="auto" w:fill="auto"/>
            <w:tcMar>
              <w:top w:w="6" w:type="dxa"/>
              <w:left w:w="6" w:type="dxa"/>
              <w:bottom w:w="0" w:type="dxa"/>
              <w:right w:w="6" w:type="dxa"/>
            </w:tcMar>
            <w:vAlign w:val="center"/>
          </w:tcPr>
          <w:p>
            <w:pPr>
              <w:spacing w:after="0"/>
              <w:jc w:val="center"/>
            </w:pPr>
            <w:r>
              <w:t>Finansial</w:t>
            </w:r>
          </w:p>
        </w:tc>
        <w:tc>
          <w:tcPr>
            <w:tcW w:w="4961" w:type="dxa"/>
            <w:shd w:val="clear" w:color="auto" w:fill="auto"/>
            <w:tcMar>
              <w:top w:w="6" w:type="dxa"/>
              <w:left w:w="6" w:type="dxa"/>
              <w:bottom w:w="0" w:type="dxa"/>
              <w:right w:w="6" w:type="dxa"/>
            </w:tcMar>
            <w:vAlign w:val="center"/>
          </w:tcPr>
          <w:p>
            <w:pPr>
              <w:spacing w:after="0"/>
            </w:pPr>
            <w:r>
              <w:t>Terwujudnya kemandirian finansial</w:t>
            </w:r>
          </w:p>
        </w:tc>
        <w:tc>
          <w:tcPr>
            <w:tcW w:w="699" w:type="dxa"/>
            <w:shd w:val="clear" w:color="auto" w:fill="auto"/>
            <w:tcMar>
              <w:top w:w="6" w:type="dxa"/>
              <w:left w:w="6" w:type="dxa"/>
              <w:bottom w:w="0" w:type="dxa"/>
              <w:right w:w="6" w:type="dxa"/>
            </w:tcMar>
            <w:vAlign w:val="center"/>
          </w:tcPr>
          <w:p>
            <w:pPr>
              <w:spacing w:after="0"/>
              <w:jc w:val="center"/>
            </w:pPr>
            <w:r>
              <w:t>18</w:t>
            </w:r>
          </w:p>
        </w:tc>
        <w:tc>
          <w:tcPr>
            <w:tcW w:w="5822" w:type="dxa"/>
            <w:shd w:val="clear" w:color="auto" w:fill="auto"/>
            <w:tcMar>
              <w:top w:w="6" w:type="dxa"/>
              <w:left w:w="6" w:type="dxa"/>
              <w:bottom w:w="0" w:type="dxa"/>
              <w:right w:w="6" w:type="dxa"/>
            </w:tcMar>
            <w:vAlign w:val="center"/>
          </w:tcPr>
          <w:p>
            <w:pPr>
              <w:spacing w:after="0"/>
            </w:pPr>
            <w:r>
              <w:t>POBO</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430" w:hRule="atLeast"/>
        </w:trPr>
        <w:tc>
          <w:tcPr>
            <w:tcW w:w="1977" w:type="dxa"/>
            <w:vMerge w:val="continue"/>
            <w:vAlign w:val="center"/>
          </w:tcPr>
          <w:p>
            <w:pPr>
              <w:spacing w:after="0"/>
            </w:pPr>
          </w:p>
        </w:tc>
        <w:tc>
          <w:tcPr>
            <w:tcW w:w="4961" w:type="dxa"/>
            <w:shd w:val="clear" w:color="auto" w:fill="auto"/>
            <w:tcMar>
              <w:top w:w="6" w:type="dxa"/>
              <w:left w:w="6" w:type="dxa"/>
              <w:bottom w:w="0" w:type="dxa"/>
              <w:right w:w="6" w:type="dxa"/>
            </w:tcMar>
            <w:vAlign w:val="center"/>
          </w:tcPr>
          <w:p>
            <w:pPr>
              <w:spacing w:after="0"/>
            </w:pPr>
            <w:r>
              <w:t xml:space="preserve">Terwujudnya keuangan yang akuntabel, transparan dan </w:t>
            </w:r>
            <w:r>
              <w:rPr>
                <w:i/>
              </w:rPr>
              <w:t>cost-effective</w:t>
            </w:r>
          </w:p>
        </w:tc>
        <w:tc>
          <w:tcPr>
            <w:tcW w:w="699" w:type="dxa"/>
            <w:shd w:val="clear" w:color="auto" w:fill="auto"/>
            <w:tcMar>
              <w:top w:w="6" w:type="dxa"/>
              <w:left w:w="6" w:type="dxa"/>
              <w:bottom w:w="0" w:type="dxa"/>
              <w:right w:w="6" w:type="dxa"/>
            </w:tcMar>
            <w:vAlign w:val="center"/>
          </w:tcPr>
          <w:p>
            <w:pPr>
              <w:spacing w:after="0"/>
              <w:jc w:val="center"/>
              <w:rPr>
                <w:lang w:val="id-ID"/>
              </w:rPr>
            </w:pPr>
            <w:r>
              <w:t>19</w:t>
            </w:r>
          </w:p>
        </w:tc>
        <w:tc>
          <w:tcPr>
            <w:tcW w:w="5822" w:type="dxa"/>
            <w:shd w:val="clear" w:color="auto" w:fill="auto"/>
            <w:tcMar>
              <w:top w:w="6" w:type="dxa"/>
              <w:left w:w="6" w:type="dxa"/>
              <w:bottom w:w="0" w:type="dxa"/>
              <w:right w:w="6" w:type="dxa"/>
            </w:tcMar>
            <w:vAlign w:val="center"/>
          </w:tcPr>
          <w:p>
            <w:pPr>
              <w:spacing w:after="0"/>
            </w:pPr>
            <w:r>
              <w:t>Hasil audit keuangan</w:t>
            </w:r>
          </w:p>
        </w:tc>
      </w:tr>
    </w:tbl>
    <w:p/>
    <w:p>
      <w:pPr>
        <w:sectPr>
          <w:type w:val="continuous"/>
          <w:pgSz w:w="16839" w:h="11907" w:orient="landscape"/>
          <w:pgMar w:top="1440" w:right="1440" w:bottom="1440" w:left="1440" w:header="720" w:footer="202" w:gutter="0"/>
          <w:cols w:space="720" w:num="1"/>
          <w:docGrid w:linePitch="360" w:charSpace="0"/>
        </w:sectPr>
      </w:pPr>
    </w:p>
    <w:p>
      <w:r>
        <w:br w:type="page"/>
      </w:r>
    </w:p>
    <w:p>
      <w:pPr>
        <w:spacing w:line="360" w:lineRule="auto"/>
        <w:jc w:val="both"/>
        <w:sectPr>
          <w:type w:val="continuous"/>
          <w:pgSz w:w="16839" w:h="11907" w:orient="landscape"/>
          <w:pgMar w:top="1440" w:right="1440" w:bottom="1440" w:left="1440" w:header="720" w:footer="202" w:gutter="0"/>
          <w:cols w:space="720" w:num="2"/>
          <w:docGrid w:linePitch="360" w:charSpace="0"/>
        </w:sectPr>
      </w:pPr>
    </w:p>
    <w:p>
      <w:pPr>
        <w:spacing w:line="360" w:lineRule="auto"/>
        <w:ind w:firstLine="709"/>
        <w:jc w:val="both"/>
      </w:pPr>
      <w:r>
        <w:t>Target matriks KPI berfungsi untuk mengukur tingkat keberhasilan secara kuantitatif di tiap tahun atas kemajuan pencapaian suatu sasaran strategis pada peta strategi. Target KPI yang ditetapkan tiap tahun diupayakan ada peningkatan secara kuantitatif hingga terwujudnya visi RSHS</w:t>
      </w:r>
      <w:r>
        <w:rPr>
          <w:color w:val="FF0000"/>
        </w:rPr>
        <w:t xml:space="preserve"> </w:t>
      </w:r>
      <w:r>
        <w:t>di tahun 2019.</w:t>
      </w:r>
    </w:p>
    <w:p>
      <w:pPr>
        <w:spacing w:line="360" w:lineRule="auto"/>
        <w:ind w:firstLine="709"/>
        <w:jc w:val="both"/>
      </w:pPr>
      <w:r>
        <w:t>Bobot KPI ditentukan untuk menunjukkan tingkat kepentingan relatif suatu jenis KPI dibandingkan dengan jenis KPI lainnya. Total bobot semua jenis KPI adalah 100 (seratus) persen. Dengan demikian, bila ada suatu jenis KPI mempunyai nilai bobot lebih tinggi daripada jenis KPI lainnya, jenis KPI tersebut dinilai lebih menentukan dalam mewujudkan visi RSHS</w:t>
      </w:r>
      <w:r>
        <w:rPr>
          <w:color w:val="FF0000"/>
        </w:rPr>
        <w:t xml:space="preserve"> </w:t>
      </w:r>
      <w:r>
        <w:t>di akhir tahun 2019. Kondisi ini juga mengindikasikan bahwa bobot KPI yang lebih tinggi merepresentasikan keinginan kuat jajaran manajemen RSHS</w:t>
      </w:r>
      <w:r>
        <w:rPr>
          <w:color w:val="FF0000"/>
        </w:rPr>
        <w:t xml:space="preserve"> </w:t>
      </w:r>
      <w:r>
        <w:t>untuk merealisasikan suatu sasaran strategis yang dinilai lebih penting dan mendesak untuk mewujudkan visi 2019.</w:t>
      </w:r>
    </w:p>
    <w:p>
      <w:pPr>
        <w:spacing w:line="360" w:lineRule="auto"/>
        <w:ind w:firstLine="709"/>
        <w:jc w:val="both"/>
      </w:pPr>
      <w:r>
        <w:rPr>
          <w:i/>
        </w:rPr>
        <w:t>Person in Charge</w:t>
      </w:r>
      <w:r>
        <w:t xml:space="preserve"> (PIC) menggambarkan penanggung jawab utama terhadap pencapaian suatu jenis KPI dalam menilai tingkat keberhasilan pencapaian suatu sasaran strategis pada peta strategi RSHS-PMN RSMC-FKUP periode tahun 2015-2019. PIC mengondisikan bahwa penanggung jawab tersebut akan memantau, mengukur, dan mengevaluasi secara berkala status pencapaian kemajuan atau keberhasilan suatu sasaran strategis pada peta strategi dan pada waktu tertentu bersama-sama dengan PIC lainnya, PIC terkait melakukan secara berkala koordinasi untuk mengendalikan status pencapaian visi RSHS.</w:t>
      </w:r>
    </w:p>
    <w:p>
      <w:pPr>
        <w:spacing w:line="360" w:lineRule="auto"/>
        <w:ind w:firstLine="709"/>
        <w:jc w:val="both"/>
      </w:pPr>
      <w:r>
        <w:t>Tabel 5.2 menggambarkan informasi bobot KPI, target KPI tiap tahun dan PIC terkait.</w:t>
      </w:r>
    </w:p>
    <w:p>
      <w:pPr>
        <w:jc w:val="right"/>
        <w:sectPr>
          <w:type w:val="continuous"/>
          <w:pgSz w:w="16839" w:h="11907" w:orient="landscape"/>
          <w:pgMar w:top="1440" w:right="1440" w:bottom="1440" w:left="1440" w:header="720" w:footer="202" w:gutter="0"/>
          <w:cols w:space="720" w:num="1"/>
          <w:docGrid w:linePitch="360" w:charSpace="0"/>
        </w:sectPr>
      </w:pPr>
    </w:p>
    <w:p>
      <w:pPr>
        <w:jc w:val="right"/>
      </w:pPr>
    </w:p>
    <w:p/>
    <w:p/>
    <w:p/>
    <w:p/>
    <w:p>
      <w:pPr>
        <w:sectPr>
          <w:type w:val="continuous"/>
          <w:pgSz w:w="16839" w:h="11907" w:orient="landscape"/>
          <w:pgMar w:top="1440" w:right="1440" w:bottom="1440" w:left="1440" w:header="720" w:footer="202" w:gutter="0"/>
          <w:cols w:space="720" w:num="2"/>
          <w:docGrid w:linePitch="360" w:charSpace="0"/>
        </w:sectPr>
      </w:pPr>
    </w:p>
    <w:p>
      <w:pPr>
        <w:pStyle w:val="9"/>
        <w:rPr>
          <w:szCs w:val="24"/>
        </w:rPr>
      </w:pPr>
      <w:bookmarkStart w:id="60" w:name="_Toc430523173"/>
      <w:r>
        <w:t xml:space="preserve">Tabel 5. </w:t>
      </w:r>
      <w:r>
        <w:fldChar w:fldCharType="begin"/>
      </w:r>
      <w:r>
        <w:instrText xml:space="preserve"> SEQ Tabel_5. \* ARABIC </w:instrText>
      </w:r>
      <w:r>
        <w:fldChar w:fldCharType="separate"/>
      </w:r>
      <w:r>
        <w:t>2</w:t>
      </w:r>
      <w:r>
        <w:fldChar w:fldCharType="end"/>
      </w:r>
      <w:r>
        <w:rPr>
          <w:szCs w:val="24"/>
        </w:rPr>
        <w:t xml:space="preserve"> Matriks KPI</w:t>
      </w:r>
      <w:bookmarkEnd w:id="60"/>
    </w:p>
    <w:tbl>
      <w:tblPr>
        <w:tblStyle w:val="26"/>
        <w:tblW w:w="14882" w:type="dxa"/>
        <w:tblInd w:w="0" w:type="dxa"/>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
      <w:tblGrid>
        <w:gridCol w:w="449"/>
        <w:gridCol w:w="3923"/>
        <w:gridCol w:w="3284"/>
        <w:gridCol w:w="1283"/>
        <w:gridCol w:w="1081"/>
        <w:gridCol w:w="1249"/>
        <w:gridCol w:w="1182"/>
        <w:gridCol w:w="1182"/>
        <w:gridCol w:w="1249"/>
      </w:tblGrid>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212" w:hRule="atLeast"/>
        </w:trPr>
        <w:tc>
          <w:tcPr>
            <w:tcW w:w="449" w:type="dxa"/>
            <w:vMerge w:val="restart"/>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No</w:t>
            </w:r>
          </w:p>
        </w:tc>
        <w:tc>
          <w:tcPr>
            <w:tcW w:w="3923" w:type="dxa"/>
            <w:vMerge w:val="restart"/>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KPI</w:t>
            </w:r>
          </w:p>
        </w:tc>
        <w:tc>
          <w:tcPr>
            <w:tcW w:w="3284" w:type="dxa"/>
            <w:vMerge w:val="restart"/>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PIC</w:t>
            </w:r>
          </w:p>
        </w:tc>
        <w:tc>
          <w:tcPr>
            <w:tcW w:w="1283" w:type="dxa"/>
            <w:vMerge w:val="restart"/>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Baseline (2014)</w:t>
            </w:r>
          </w:p>
        </w:tc>
        <w:tc>
          <w:tcPr>
            <w:tcW w:w="5943" w:type="dxa"/>
            <w:gridSpan w:val="5"/>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TARGET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67" w:hRule="atLeast"/>
        </w:trPr>
        <w:tc>
          <w:tcPr>
            <w:tcW w:w="449" w:type="dxa"/>
            <w:vMerge w:val="continue"/>
            <w:shd w:val="clear" w:color="auto" w:fill="259073" w:themeFill="accent2"/>
            <w:vAlign w:val="center"/>
          </w:tcPr>
          <w:p>
            <w:pPr>
              <w:spacing w:after="0" w:line="240" w:lineRule="auto"/>
              <w:jc w:val="center"/>
              <w:rPr>
                <w:rFonts w:cs="Arial"/>
                <w:b/>
                <w:color w:val="FFFFFF"/>
                <w:sz w:val="22"/>
              </w:rPr>
            </w:pPr>
          </w:p>
        </w:tc>
        <w:tc>
          <w:tcPr>
            <w:tcW w:w="3923" w:type="dxa"/>
            <w:vMerge w:val="continue"/>
            <w:shd w:val="clear" w:color="auto" w:fill="259073" w:themeFill="accent2"/>
            <w:vAlign w:val="center"/>
          </w:tcPr>
          <w:p>
            <w:pPr>
              <w:spacing w:after="0" w:line="240" w:lineRule="auto"/>
              <w:jc w:val="center"/>
              <w:rPr>
                <w:rFonts w:cs="Arial"/>
                <w:b/>
                <w:color w:val="FFFFFF"/>
                <w:sz w:val="22"/>
              </w:rPr>
            </w:pPr>
          </w:p>
        </w:tc>
        <w:tc>
          <w:tcPr>
            <w:tcW w:w="3284" w:type="dxa"/>
            <w:vMerge w:val="continue"/>
            <w:shd w:val="clear" w:color="auto" w:fill="259073" w:themeFill="accent2"/>
            <w:vAlign w:val="center"/>
          </w:tcPr>
          <w:p>
            <w:pPr>
              <w:spacing w:after="0" w:line="240" w:lineRule="auto"/>
              <w:jc w:val="center"/>
              <w:rPr>
                <w:rFonts w:cs="Arial"/>
                <w:b/>
                <w:color w:val="FFFFFF"/>
                <w:sz w:val="22"/>
              </w:rPr>
            </w:pPr>
          </w:p>
        </w:tc>
        <w:tc>
          <w:tcPr>
            <w:tcW w:w="1283" w:type="dxa"/>
            <w:vMerge w:val="continue"/>
            <w:shd w:val="clear" w:color="auto" w:fill="259073" w:themeFill="accent2"/>
            <w:vAlign w:val="center"/>
          </w:tcPr>
          <w:p>
            <w:pPr>
              <w:spacing w:after="0" w:line="240" w:lineRule="auto"/>
              <w:jc w:val="center"/>
              <w:rPr>
                <w:rFonts w:cs="Arial"/>
                <w:b/>
                <w:color w:val="FFFFFF"/>
                <w:sz w:val="22"/>
              </w:rPr>
            </w:pPr>
          </w:p>
        </w:tc>
        <w:tc>
          <w:tcPr>
            <w:tcW w:w="1081" w:type="dxa"/>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2015</w:t>
            </w:r>
          </w:p>
        </w:tc>
        <w:tc>
          <w:tcPr>
            <w:tcW w:w="1249" w:type="dxa"/>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2016</w:t>
            </w:r>
          </w:p>
        </w:tc>
        <w:tc>
          <w:tcPr>
            <w:tcW w:w="1182" w:type="dxa"/>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2017</w:t>
            </w:r>
          </w:p>
        </w:tc>
        <w:tc>
          <w:tcPr>
            <w:tcW w:w="1182" w:type="dxa"/>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color w:val="FFFFFF"/>
                <w:sz w:val="22"/>
              </w:rPr>
            </w:pPr>
            <w:r>
              <w:rPr>
                <w:rFonts w:cs="Arial"/>
                <w:b/>
                <w:color w:val="FFFFFF"/>
                <w:kern w:val="24"/>
                <w:sz w:val="22"/>
              </w:rPr>
              <w:t>2018</w:t>
            </w:r>
          </w:p>
        </w:tc>
        <w:tc>
          <w:tcPr>
            <w:tcW w:w="1249" w:type="dxa"/>
            <w:shd w:val="clear" w:color="auto" w:fill="259073" w:themeFill="accent2"/>
            <w:tcMar>
              <w:top w:w="7" w:type="dxa"/>
              <w:left w:w="7" w:type="dxa"/>
              <w:bottom w:w="0" w:type="dxa"/>
              <w:right w:w="7" w:type="dxa"/>
            </w:tcMar>
            <w:vAlign w:val="center"/>
          </w:tcPr>
          <w:p>
            <w:pPr>
              <w:spacing w:after="0" w:line="240" w:lineRule="auto"/>
              <w:jc w:val="center"/>
              <w:textAlignment w:val="center"/>
              <w:rPr>
                <w:rFonts w:cs="Arial"/>
                <w:b/>
                <w:sz w:val="22"/>
              </w:rPr>
            </w:pPr>
            <w:r>
              <w:rPr>
                <w:rFonts w:cs="Arial"/>
                <w:b/>
                <w:color w:val="FFFFFF"/>
                <w:kern w:val="24"/>
                <w:sz w:val="22"/>
              </w:rPr>
              <w:t>2019</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1</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lang w:val="id-ID"/>
              </w:rPr>
            </w:pPr>
            <w:r>
              <w:t>AKI</w:t>
            </w:r>
            <w:r>
              <w:rPr>
                <w:lang w:val="id-ID"/>
              </w:rPr>
              <w:t xml:space="preserve"> – Maternal Mortality Ratio (MMR)</w:t>
            </w:r>
          </w:p>
        </w:tc>
        <w:tc>
          <w:tcPr>
            <w:tcW w:w="3284"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w:t>
            </w:r>
          </w:p>
        </w:tc>
        <w:tc>
          <w:tcPr>
            <w:tcW w:w="1081"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904/</w:t>
            </w:r>
          </w:p>
          <w:p>
            <w:pPr>
              <w:spacing w:after="0" w:line="240" w:lineRule="auto"/>
              <w:jc w:val="center"/>
              <w:rPr>
                <w:rFonts w:ascii="Arial" w:hAnsi="Arial" w:cs="Arial"/>
                <w:sz w:val="16"/>
              </w:rPr>
            </w:pPr>
            <w:r>
              <w:rPr>
                <w:rFonts w:ascii="Arial" w:hAnsi="Arial" w:cs="Arial"/>
                <w:sz w:val="16"/>
              </w:rPr>
              <w:t>100.000</w:t>
            </w:r>
          </w:p>
        </w:tc>
        <w:tc>
          <w:tcPr>
            <w:tcW w:w="1249"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789/</w:t>
            </w:r>
          </w:p>
          <w:p>
            <w:pPr>
              <w:spacing w:after="0" w:line="240" w:lineRule="auto"/>
              <w:jc w:val="center"/>
              <w:rPr>
                <w:rFonts w:ascii="Arial" w:hAnsi="Arial" w:cs="Arial"/>
                <w:sz w:val="16"/>
              </w:rPr>
            </w:pPr>
            <w:r>
              <w:rPr>
                <w:rFonts w:ascii="Arial" w:hAnsi="Arial" w:cs="Arial"/>
                <w:sz w:val="16"/>
              </w:rPr>
              <w:t>100.000</w:t>
            </w:r>
          </w:p>
        </w:tc>
        <w:tc>
          <w:tcPr>
            <w:tcW w:w="1182"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670/</w:t>
            </w:r>
          </w:p>
          <w:p>
            <w:pPr>
              <w:spacing w:after="0" w:line="240" w:lineRule="auto"/>
              <w:jc w:val="center"/>
              <w:rPr>
                <w:rFonts w:ascii="Arial" w:hAnsi="Arial" w:cs="Arial"/>
                <w:sz w:val="16"/>
              </w:rPr>
            </w:pPr>
            <w:r>
              <w:rPr>
                <w:rFonts w:ascii="Arial" w:hAnsi="Arial" w:cs="Arial"/>
                <w:sz w:val="16"/>
              </w:rPr>
              <w:t>100.000</w:t>
            </w:r>
          </w:p>
        </w:tc>
        <w:tc>
          <w:tcPr>
            <w:tcW w:w="1182"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887/</w:t>
            </w:r>
          </w:p>
          <w:p>
            <w:pPr>
              <w:spacing w:after="0" w:line="240" w:lineRule="auto"/>
              <w:jc w:val="center"/>
              <w:rPr>
                <w:rFonts w:ascii="Arial" w:hAnsi="Arial" w:cs="Arial"/>
                <w:sz w:val="16"/>
              </w:rPr>
            </w:pPr>
            <w:r>
              <w:rPr>
                <w:rFonts w:ascii="Arial" w:hAnsi="Arial" w:cs="Arial"/>
                <w:sz w:val="16"/>
              </w:rPr>
              <w:t>100.000</w:t>
            </w:r>
          </w:p>
        </w:tc>
        <w:tc>
          <w:tcPr>
            <w:tcW w:w="1249"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473/</w:t>
            </w:r>
          </w:p>
          <w:p>
            <w:pPr>
              <w:spacing w:after="0" w:line="240" w:lineRule="auto"/>
              <w:jc w:val="center"/>
              <w:rPr>
                <w:rFonts w:ascii="Arial" w:hAnsi="Arial" w:cs="Arial"/>
                <w:sz w:val="16"/>
              </w:rPr>
            </w:pPr>
            <w:r>
              <w:rPr>
                <w:rFonts w:ascii="Arial" w:hAnsi="Arial" w:cs="Arial"/>
                <w:sz w:val="16"/>
              </w:rPr>
              <w:t>100.000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2</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lang w:val="id-ID"/>
              </w:rPr>
            </w:pPr>
            <w:r>
              <w:t>AKND - Angka Kematian Neonatal Dini</w:t>
            </w:r>
            <w:r>
              <w:rPr>
                <w:lang w:val="id-ID"/>
              </w:rPr>
              <w:t xml:space="preserve"> </w:t>
            </w:r>
          </w:p>
        </w:tc>
        <w:tc>
          <w:tcPr>
            <w:tcW w:w="3284"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t>Direktur</w:t>
            </w:r>
            <w:r>
              <w:rPr>
                <w:rFonts w:cs="Arial"/>
                <w:color w:val="000000"/>
                <w:kern w:val="24"/>
                <w:sz w:val="22"/>
              </w:rPr>
              <w:t xml:space="preserve"> Medik &amp; Keperawatan</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w:t>
            </w:r>
          </w:p>
        </w:tc>
        <w:tc>
          <w:tcPr>
            <w:tcW w:w="1081" w:type="dxa"/>
            <w:shd w:val="clear" w:color="auto" w:fill="auto"/>
            <w:tcMar>
              <w:top w:w="7" w:type="dxa"/>
              <w:left w:w="7" w:type="dxa"/>
              <w:bottom w:w="0" w:type="dxa"/>
              <w:right w:w="7" w:type="dxa"/>
            </w:tcMar>
          </w:tcPr>
          <w:p>
            <w:pPr>
              <w:spacing w:after="0" w:line="240" w:lineRule="auto"/>
              <w:jc w:val="center"/>
              <w:textAlignment w:val="center"/>
              <w:rPr>
                <w:rFonts w:cs="Arial"/>
                <w:sz w:val="22"/>
              </w:rPr>
            </w:pPr>
          </w:p>
        </w:tc>
        <w:tc>
          <w:tcPr>
            <w:tcW w:w="1249"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81,4‰</w:t>
            </w:r>
          </w:p>
        </w:tc>
        <w:tc>
          <w:tcPr>
            <w:tcW w:w="1182"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73‰</w:t>
            </w:r>
          </w:p>
        </w:tc>
        <w:tc>
          <w:tcPr>
            <w:tcW w:w="1182"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60‰</w:t>
            </w:r>
          </w:p>
        </w:tc>
        <w:tc>
          <w:tcPr>
            <w:tcW w:w="1249"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16"/>
              </w:rPr>
            </w:pPr>
            <w:r>
              <w:rPr>
                <w:rFonts w:ascii="Arial" w:hAnsi="Arial" w:cs="Arial"/>
                <w:sz w:val="16"/>
              </w:rPr>
              <w:t>60‰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color w:val="000000"/>
                <w:kern w:val="24"/>
                <w:sz w:val="22"/>
              </w:rPr>
            </w:pPr>
            <w:r>
              <w:rPr>
                <w:rFonts w:cs="Arial"/>
                <w:color w:val="000000"/>
                <w:kern w:val="24"/>
                <w:sz w:val="22"/>
              </w:rPr>
              <w:t>3</w:t>
            </w:r>
          </w:p>
        </w:tc>
        <w:tc>
          <w:tcPr>
            <w:tcW w:w="3923" w:type="dxa"/>
            <w:shd w:val="clear" w:color="auto" w:fill="auto"/>
            <w:tcMar>
              <w:top w:w="7" w:type="dxa"/>
              <w:left w:w="7" w:type="dxa"/>
              <w:bottom w:w="0" w:type="dxa"/>
              <w:right w:w="7" w:type="dxa"/>
            </w:tcMar>
          </w:tcPr>
          <w:p>
            <w:pPr>
              <w:spacing w:after="0" w:line="240" w:lineRule="auto"/>
              <w:textAlignment w:val="center"/>
              <w:rPr>
                <w:rFonts w:cs="Arial"/>
                <w:color w:val="000000"/>
                <w:kern w:val="24"/>
                <w:sz w:val="22"/>
              </w:rPr>
            </w:pPr>
            <w:r>
              <w:rPr>
                <w:lang w:val="id-ID"/>
              </w:rPr>
              <w:t xml:space="preserve">Insidensi </w:t>
            </w:r>
            <w:r>
              <w:t>kanker serviks</w:t>
            </w:r>
          </w:p>
        </w:tc>
        <w:tc>
          <w:tcPr>
            <w:tcW w:w="3284" w:type="dxa"/>
            <w:shd w:val="clear" w:color="auto" w:fill="auto"/>
            <w:tcMar>
              <w:top w:w="7" w:type="dxa"/>
              <w:left w:w="7" w:type="dxa"/>
              <w:bottom w:w="0" w:type="dxa"/>
              <w:right w:w="7" w:type="dxa"/>
            </w:tcMar>
          </w:tcPr>
          <w:p>
            <w:pPr>
              <w:spacing w:after="0" w:line="240" w:lineRule="auto"/>
              <w:jc w:val="center"/>
              <w:textAlignment w:val="center"/>
              <w:rPr>
                <w:rFonts w:cs="Arial"/>
                <w:color w:val="000000"/>
                <w:kern w:val="24"/>
                <w:sz w:val="22"/>
                <w:highlight w:val="yellow"/>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highlight w:val="yellow"/>
              </w:rPr>
            </w:pPr>
            <w:r>
              <w:rPr>
                <w:rFonts w:cs="Arial"/>
                <w:sz w:val="22"/>
              </w:rPr>
              <w:t>-</w:t>
            </w:r>
          </w:p>
        </w:tc>
        <w:tc>
          <w:tcPr>
            <w:tcW w:w="1081" w:type="dxa"/>
            <w:shd w:val="clear" w:color="auto" w:fill="auto"/>
            <w:tcMar>
              <w:top w:w="15" w:type="dxa"/>
              <w:left w:w="108" w:type="dxa"/>
              <w:bottom w:w="0" w:type="dxa"/>
              <w:right w:w="108" w:type="dxa"/>
            </w:tcMar>
          </w:tcPr>
          <w:p>
            <w:pPr>
              <w:spacing w:before="60" w:after="0" w:line="240" w:lineRule="auto"/>
              <w:jc w:val="center"/>
              <w:rPr>
                <w:rFonts w:cs="Arial"/>
                <w:sz w:val="22"/>
              </w:rPr>
            </w:pPr>
            <w:r>
              <w:rPr>
                <w:rFonts w:cs="Arial"/>
                <w:sz w:val="22"/>
              </w:rPr>
              <w:t>0.0056</w:t>
            </w:r>
          </w:p>
        </w:tc>
        <w:tc>
          <w:tcPr>
            <w:tcW w:w="1249" w:type="dxa"/>
            <w:shd w:val="clear" w:color="auto" w:fill="auto"/>
            <w:tcMar>
              <w:top w:w="15" w:type="dxa"/>
              <w:left w:w="7" w:type="dxa"/>
              <w:bottom w:w="0" w:type="dxa"/>
              <w:right w:w="7" w:type="dxa"/>
            </w:tcMar>
          </w:tcPr>
          <w:p>
            <w:pPr>
              <w:spacing w:before="60" w:after="0" w:line="240" w:lineRule="auto"/>
              <w:jc w:val="center"/>
              <w:rPr>
                <w:rFonts w:cs="Arial"/>
                <w:sz w:val="22"/>
              </w:rPr>
            </w:pPr>
            <w:r>
              <w:rPr>
                <w:rFonts w:cs="Arial"/>
                <w:sz w:val="22"/>
              </w:rPr>
              <w:t>0,0053</w:t>
            </w:r>
          </w:p>
        </w:tc>
        <w:tc>
          <w:tcPr>
            <w:tcW w:w="1182" w:type="dxa"/>
            <w:shd w:val="clear" w:color="auto" w:fill="auto"/>
            <w:tcMar>
              <w:top w:w="15" w:type="dxa"/>
              <w:left w:w="7" w:type="dxa"/>
              <w:bottom w:w="0" w:type="dxa"/>
              <w:right w:w="7" w:type="dxa"/>
            </w:tcMar>
          </w:tcPr>
          <w:p>
            <w:pPr>
              <w:spacing w:before="60" w:after="0" w:line="240" w:lineRule="auto"/>
              <w:jc w:val="center"/>
              <w:rPr>
                <w:rFonts w:cs="Arial"/>
                <w:sz w:val="22"/>
              </w:rPr>
            </w:pPr>
            <w:r>
              <w:rPr>
                <w:rFonts w:cs="Arial"/>
                <w:sz w:val="22"/>
              </w:rPr>
              <w:t>0,0030</w:t>
            </w:r>
          </w:p>
        </w:tc>
        <w:tc>
          <w:tcPr>
            <w:tcW w:w="1182" w:type="dxa"/>
            <w:shd w:val="clear" w:color="auto" w:fill="auto"/>
            <w:tcMar>
              <w:top w:w="15" w:type="dxa"/>
              <w:left w:w="7" w:type="dxa"/>
              <w:bottom w:w="0" w:type="dxa"/>
              <w:right w:w="7" w:type="dxa"/>
            </w:tcMar>
          </w:tcPr>
          <w:p>
            <w:pPr>
              <w:spacing w:before="60" w:after="0" w:line="240" w:lineRule="auto"/>
              <w:jc w:val="center"/>
              <w:rPr>
                <w:rFonts w:cs="Arial"/>
                <w:sz w:val="22"/>
              </w:rPr>
            </w:pPr>
            <w:r>
              <w:rPr>
                <w:rFonts w:cs="Arial"/>
                <w:sz w:val="22"/>
              </w:rPr>
              <w:t>0,0062</w:t>
            </w:r>
          </w:p>
        </w:tc>
        <w:tc>
          <w:tcPr>
            <w:tcW w:w="1249" w:type="dxa"/>
            <w:shd w:val="clear" w:color="auto" w:fill="auto"/>
            <w:tcMar>
              <w:top w:w="15" w:type="dxa"/>
              <w:left w:w="7" w:type="dxa"/>
              <w:bottom w:w="0" w:type="dxa"/>
              <w:right w:w="7" w:type="dxa"/>
            </w:tcMar>
          </w:tcPr>
          <w:p>
            <w:pPr>
              <w:spacing w:before="60" w:after="0" w:line="240" w:lineRule="auto"/>
              <w:jc w:val="center"/>
              <w:rPr>
                <w:rFonts w:cs="Arial"/>
                <w:sz w:val="22"/>
              </w:rPr>
            </w:pPr>
            <w:r>
              <w:rPr>
                <w:rFonts w:cs="Arial"/>
                <w:sz w:val="22"/>
              </w:rPr>
              <w:t>0,0066</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93"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4</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rPr>
            </w:pPr>
            <w:r>
              <w:rPr>
                <w:lang w:val="id-ID"/>
              </w:rPr>
              <w:t>P</w:t>
            </w:r>
            <w:r>
              <w:t>referensi masyarakat</w:t>
            </w:r>
          </w:p>
        </w:tc>
        <w:tc>
          <w:tcPr>
            <w:tcW w:w="3284" w:type="dxa"/>
            <w:shd w:val="clear" w:color="auto" w:fill="auto"/>
            <w:tcMar>
              <w:top w:w="7" w:type="dxa"/>
              <w:left w:w="7" w:type="dxa"/>
              <w:bottom w:w="0" w:type="dxa"/>
              <w:right w:w="7" w:type="dxa"/>
            </w:tcMar>
          </w:tcPr>
          <w:p>
            <w:pPr>
              <w:pStyle w:val="28"/>
              <w:spacing w:after="0" w:line="240" w:lineRule="auto"/>
              <w:ind w:left="24"/>
              <w:jc w:val="center"/>
              <w:textAlignment w:val="center"/>
              <w:rPr>
                <w:rFonts w:cs="Arial"/>
                <w:color w:val="FF0000"/>
                <w:sz w:val="22"/>
              </w:rPr>
            </w:pPr>
            <w:r>
              <w:rPr>
                <w:sz w:val="22"/>
              </w:rPr>
              <w:t>Direktur Umum &amp; Operasional</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w:t>
            </w:r>
          </w:p>
        </w:tc>
        <w:tc>
          <w:tcPr>
            <w:tcW w:w="1081" w:type="dxa"/>
            <w:shd w:val="clear" w:color="auto" w:fill="auto"/>
            <w:tcMar>
              <w:top w:w="15" w:type="dxa"/>
              <w:left w:w="108" w:type="dxa"/>
              <w:bottom w:w="0" w:type="dxa"/>
              <w:right w:w="108" w:type="dxa"/>
            </w:tcMar>
          </w:tcPr>
          <w:p>
            <w:pPr>
              <w:spacing w:before="60" w:after="0" w:line="240" w:lineRule="auto"/>
              <w:jc w:val="center"/>
              <w:rPr>
                <w:rFonts w:cs="Arial"/>
                <w:sz w:val="22"/>
              </w:rPr>
            </w:pPr>
            <w:r>
              <w:rPr>
                <w:rFonts w:eastAsia="MS Mincho"/>
                <w:color w:val="000000"/>
                <w:kern w:val="24"/>
                <w:sz w:val="22"/>
              </w:rPr>
              <w:t>3</w:t>
            </w:r>
          </w:p>
        </w:tc>
        <w:tc>
          <w:tcPr>
            <w:tcW w:w="1249" w:type="dxa"/>
            <w:shd w:val="clear" w:color="auto" w:fill="auto"/>
            <w:tcMar>
              <w:top w:w="15" w:type="dxa"/>
              <w:left w:w="7" w:type="dxa"/>
              <w:bottom w:w="0" w:type="dxa"/>
              <w:right w:w="7" w:type="dxa"/>
            </w:tcMar>
          </w:tcPr>
          <w:p>
            <w:pPr>
              <w:spacing w:before="60" w:after="0" w:line="240" w:lineRule="auto"/>
              <w:jc w:val="center"/>
              <w:rPr>
                <w:rFonts w:cs="Arial"/>
                <w:sz w:val="22"/>
              </w:rPr>
            </w:pPr>
            <w:r>
              <w:rPr>
                <w:rFonts w:eastAsia="MS Mincho"/>
                <w:color w:val="000000"/>
                <w:kern w:val="24"/>
                <w:sz w:val="22"/>
              </w:rPr>
              <w:t>2,5</w:t>
            </w:r>
          </w:p>
        </w:tc>
        <w:tc>
          <w:tcPr>
            <w:tcW w:w="1182" w:type="dxa"/>
            <w:shd w:val="clear" w:color="auto" w:fill="auto"/>
            <w:tcMar>
              <w:top w:w="15" w:type="dxa"/>
              <w:left w:w="7" w:type="dxa"/>
              <w:bottom w:w="0" w:type="dxa"/>
              <w:right w:w="7" w:type="dxa"/>
            </w:tcMar>
          </w:tcPr>
          <w:p>
            <w:pPr>
              <w:spacing w:before="60" w:after="0" w:line="240" w:lineRule="auto"/>
              <w:jc w:val="center"/>
              <w:rPr>
                <w:rFonts w:cs="Arial"/>
                <w:sz w:val="22"/>
              </w:rPr>
            </w:pPr>
            <w:r>
              <w:rPr>
                <w:rFonts w:eastAsia="MS Mincho"/>
                <w:color w:val="000000"/>
                <w:kern w:val="24"/>
                <w:sz w:val="22"/>
              </w:rPr>
              <w:t>70%</w:t>
            </w:r>
          </w:p>
        </w:tc>
        <w:tc>
          <w:tcPr>
            <w:tcW w:w="1182" w:type="dxa"/>
            <w:shd w:val="clear" w:color="auto" w:fill="auto"/>
            <w:tcMar>
              <w:top w:w="15" w:type="dxa"/>
              <w:left w:w="7" w:type="dxa"/>
              <w:bottom w:w="0" w:type="dxa"/>
              <w:right w:w="7" w:type="dxa"/>
            </w:tcMar>
          </w:tcPr>
          <w:p>
            <w:pPr>
              <w:spacing w:before="60" w:after="0" w:line="240" w:lineRule="auto"/>
              <w:jc w:val="center"/>
              <w:rPr>
                <w:rFonts w:cs="Arial"/>
                <w:sz w:val="22"/>
              </w:rPr>
            </w:pPr>
            <w:r>
              <w:rPr>
                <w:rFonts w:eastAsia="MS Mincho"/>
                <w:color w:val="000000"/>
                <w:kern w:val="24"/>
                <w:sz w:val="22"/>
              </w:rPr>
              <w:t>95%</w:t>
            </w:r>
          </w:p>
        </w:tc>
        <w:tc>
          <w:tcPr>
            <w:tcW w:w="1249" w:type="dxa"/>
            <w:shd w:val="clear" w:color="auto" w:fill="auto"/>
            <w:tcMar>
              <w:top w:w="15" w:type="dxa"/>
              <w:left w:w="7" w:type="dxa"/>
              <w:bottom w:w="0" w:type="dxa"/>
              <w:right w:w="7" w:type="dxa"/>
            </w:tcMar>
          </w:tcPr>
          <w:p>
            <w:pPr>
              <w:spacing w:before="60" w:after="0" w:line="240" w:lineRule="auto"/>
              <w:jc w:val="center"/>
              <w:rPr>
                <w:rFonts w:cs="Arial"/>
                <w:sz w:val="22"/>
              </w:rPr>
            </w:pPr>
            <w:r>
              <w:rPr>
                <w:rFonts w:eastAsia="MS Mincho"/>
                <w:color w:val="000000"/>
                <w:kern w:val="24"/>
                <w:sz w:val="22"/>
              </w:rPr>
              <w:t>97%</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572"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5</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lang w:val="id-ID"/>
              </w:rPr>
            </w:pPr>
            <w:r>
              <w:t>Akreditasi RS</w:t>
            </w:r>
            <w:r>
              <w:rPr>
                <w:lang w:val="id-ID"/>
              </w:rPr>
              <w:t>HS</w:t>
            </w:r>
          </w:p>
        </w:tc>
        <w:tc>
          <w:tcPr>
            <w:tcW w:w="3284" w:type="dxa"/>
            <w:shd w:val="clear" w:color="auto" w:fill="auto"/>
            <w:tcMar>
              <w:top w:w="7" w:type="dxa"/>
              <w:left w:w="7" w:type="dxa"/>
              <w:bottom w:w="0" w:type="dxa"/>
              <w:right w:w="7" w:type="dxa"/>
            </w:tcMar>
          </w:tcPr>
          <w:p>
            <w:pPr>
              <w:spacing w:after="0" w:line="240" w:lineRule="auto"/>
              <w:jc w:val="center"/>
              <w:textAlignment w:val="center"/>
              <w:rPr>
                <w:rFonts w:cs="Arial"/>
                <w:sz w:val="22"/>
                <w:lang w:val="id-ID"/>
              </w:rPr>
            </w:pPr>
            <w:r>
              <w:rPr>
                <w:sz w:val="22"/>
              </w:rPr>
              <w:t>Direktur SDM dan Pendidikan</w:t>
            </w:r>
            <w:r>
              <w:rPr>
                <w:rFonts w:cs="Arial"/>
                <w:kern w:val="24"/>
                <w:sz w:val="22"/>
                <w:lang w:val="id-ID"/>
              </w:rPr>
              <w:t xml:space="preserve"> (Direktur Utama )</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lang w:val="id-ID"/>
              </w:rPr>
            </w:pPr>
            <w:r>
              <w:rPr>
                <w:rFonts w:cs="Arial"/>
                <w:sz w:val="22"/>
                <w:lang w:val="id-ID"/>
              </w:rPr>
              <w:t>Terakreditasi KARS</w:t>
            </w:r>
          </w:p>
        </w:tc>
        <w:tc>
          <w:tcPr>
            <w:tcW w:w="1081"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kern w:val="24"/>
                <w:sz w:val="22"/>
              </w:rPr>
              <w:t>Mock Survey</w:t>
            </w:r>
            <w:r>
              <w:rPr>
                <w:rFonts w:cs="Arial"/>
                <w:kern w:val="24"/>
                <w:sz w:val="22"/>
                <w:lang w:val="id-ID"/>
              </w:rPr>
              <w:t xml:space="preserve"> </w:t>
            </w:r>
            <w:r>
              <w:rPr>
                <w:rFonts w:cs="Arial"/>
                <w:kern w:val="24"/>
                <w:sz w:val="22"/>
              </w:rPr>
              <w:t xml:space="preserve">JCI </w:t>
            </w:r>
          </w:p>
        </w:tc>
        <w:tc>
          <w:tcPr>
            <w:tcW w:w="12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Akreditasi</w:t>
            </w:r>
          </w:p>
          <w:p>
            <w:pPr>
              <w:spacing w:after="0" w:line="240" w:lineRule="auto"/>
              <w:jc w:val="center"/>
              <w:textAlignment w:val="center"/>
              <w:rPr>
                <w:rFonts w:cs="Arial"/>
                <w:sz w:val="22"/>
              </w:rPr>
            </w:pPr>
            <w:r>
              <w:rPr>
                <w:rFonts w:cs="Arial"/>
                <w:sz w:val="22"/>
              </w:rPr>
              <w:t>JCI</w:t>
            </w:r>
          </w:p>
        </w:tc>
        <w:tc>
          <w:tcPr>
            <w:tcW w:w="1182" w:type="dxa"/>
            <w:shd w:val="clear" w:color="auto" w:fill="auto"/>
            <w:tcMar>
              <w:top w:w="7" w:type="dxa"/>
              <w:left w:w="7" w:type="dxa"/>
              <w:bottom w:w="0" w:type="dxa"/>
              <w:right w:w="7" w:type="dxa"/>
            </w:tcMar>
          </w:tcPr>
          <w:p>
            <w:pPr>
              <w:spacing w:after="0" w:line="240" w:lineRule="auto"/>
              <w:jc w:val="center"/>
              <w:textAlignment w:val="center"/>
              <w:rPr>
                <w:rFonts w:cs="Arial"/>
                <w:kern w:val="24"/>
                <w:sz w:val="22"/>
              </w:rPr>
            </w:pPr>
            <w:r>
              <w:rPr>
                <w:rFonts w:cs="Arial"/>
                <w:kern w:val="24"/>
                <w:sz w:val="22"/>
                <w:lang w:val="id-ID"/>
              </w:rPr>
              <w:t xml:space="preserve">Terakreditasi </w:t>
            </w:r>
            <w:r>
              <w:rPr>
                <w:rFonts w:cs="Arial"/>
                <w:kern w:val="24"/>
                <w:sz w:val="22"/>
              </w:rPr>
              <w:t>100% KARS</w:t>
            </w:r>
          </w:p>
        </w:tc>
        <w:tc>
          <w:tcPr>
            <w:tcW w:w="1182" w:type="dxa"/>
            <w:shd w:val="clear" w:color="auto" w:fill="auto"/>
            <w:tcMar>
              <w:top w:w="7" w:type="dxa"/>
              <w:left w:w="7" w:type="dxa"/>
              <w:bottom w:w="0" w:type="dxa"/>
              <w:right w:w="7" w:type="dxa"/>
            </w:tcMar>
          </w:tcPr>
          <w:p>
            <w:pPr>
              <w:spacing w:after="0" w:line="240" w:lineRule="auto"/>
              <w:jc w:val="center"/>
              <w:textAlignment w:val="center"/>
              <w:rPr>
                <w:rFonts w:cs="Arial"/>
                <w:kern w:val="24"/>
                <w:sz w:val="22"/>
              </w:rPr>
            </w:pPr>
            <w:r>
              <w:rPr>
                <w:rFonts w:cs="Arial"/>
                <w:kern w:val="24"/>
                <w:sz w:val="22"/>
                <w:lang w:val="id-ID"/>
              </w:rPr>
              <w:t xml:space="preserve">Terakreditasi </w:t>
            </w:r>
            <w:r>
              <w:rPr>
                <w:rFonts w:cs="Arial"/>
                <w:kern w:val="24"/>
                <w:sz w:val="22"/>
              </w:rPr>
              <w:t>100% KARS</w:t>
            </w:r>
          </w:p>
        </w:tc>
        <w:tc>
          <w:tcPr>
            <w:tcW w:w="12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JCI</w:t>
            </w:r>
          </w:p>
          <w:p>
            <w:pPr>
              <w:spacing w:after="0" w:line="240" w:lineRule="auto"/>
              <w:jc w:val="center"/>
              <w:textAlignment w:val="center"/>
              <w:rPr>
                <w:rFonts w:cs="Arial"/>
                <w:sz w:val="22"/>
                <w:lang w:val="id-ID"/>
              </w:rPr>
            </w:pP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6</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rPr>
            </w:pPr>
            <w:r>
              <w:t>Tingkat kepuasan pasien</w:t>
            </w:r>
          </w:p>
        </w:tc>
        <w:tc>
          <w:tcPr>
            <w:tcW w:w="3284" w:type="dxa"/>
            <w:shd w:val="clear" w:color="auto" w:fill="auto"/>
            <w:tcMar>
              <w:top w:w="7" w:type="dxa"/>
              <w:left w:w="7" w:type="dxa"/>
              <w:bottom w:w="0" w:type="dxa"/>
              <w:right w:w="7" w:type="dxa"/>
            </w:tcMar>
          </w:tcPr>
          <w:p>
            <w:pPr>
              <w:pStyle w:val="28"/>
              <w:spacing w:after="0" w:line="240" w:lineRule="auto"/>
              <w:ind w:left="24"/>
              <w:jc w:val="center"/>
              <w:textAlignment w:val="center"/>
              <w:rPr>
                <w:rFonts w:cs="Arial"/>
                <w:color w:val="FF0000"/>
                <w:sz w:val="22"/>
              </w:rPr>
            </w:pPr>
            <w:r>
              <w:rPr>
                <w:sz w:val="22"/>
              </w:rPr>
              <w:t>Direktur Umum &amp; Operasional</w:t>
            </w:r>
          </w:p>
        </w:tc>
        <w:tc>
          <w:tcPr>
            <w:tcW w:w="1283"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73</w:t>
            </w:r>
          </w:p>
        </w:tc>
        <w:tc>
          <w:tcPr>
            <w:tcW w:w="1081"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75%</w:t>
            </w:r>
          </w:p>
        </w:tc>
        <w:tc>
          <w:tcPr>
            <w:tcW w:w="12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78%</w:t>
            </w:r>
          </w:p>
        </w:tc>
        <w:tc>
          <w:tcPr>
            <w:tcW w:w="1182"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75%</w:t>
            </w:r>
          </w:p>
        </w:tc>
        <w:tc>
          <w:tcPr>
            <w:tcW w:w="1182"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80%</w:t>
            </w:r>
          </w:p>
        </w:tc>
        <w:tc>
          <w:tcPr>
            <w:tcW w:w="12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82%</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99" w:hRule="atLeast"/>
        </w:trPr>
        <w:tc>
          <w:tcPr>
            <w:tcW w:w="449"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sz w:val="22"/>
              </w:rPr>
              <w:t>7</w:t>
            </w:r>
          </w:p>
        </w:tc>
        <w:tc>
          <w:tcPr>
            <w:tcW w:w="3923" w:type="dxa"/>
            <w:shd w:val="clear" w:color="auto" w:fill="auto"/>
            <w:tcMar>
              <w:top w:w="7" w:type="dxa"/>
              <w:left w:w="7" w:type="dxa"/>
              <w:bottom w:w="0" w:type="dxa"/>
              <w:right w:w="7" w:type="dxa"/>
            </w:tcMar>
          </w:tcPr>
          <w:p>
            <w:pPr>
              <w:spacing w:after="0"/>
              <w:rPr>
                <w:sz w:val="22"/>
              </w:rPr>
            </w:pPr>
            <w:r>
              <w:t>Tingkat kepuasan peserta didik</w:t>
            </w:r>
          </w:p>
        </w:tc>
        <w:tc>
          <w:tcPr>
            <w:tcW w:w="3284" w:type="dxa"/>
            <w:shd w:val="clear" w:color="auto" w:fill="auto"/>
            <w:tcMar>
              <w:top w:w="7" w:type="dxa"/>
              <w:left w:w="7" w:type="dxa"/>
              <w:bottom w:w="0" w:type="dxa"/>
              <w:right w:w="7" w:type="dxa"/>
            </w:tcMar>
          </w:tcPr>
          <w:p>
            <w:pPr>
              <w:spacing w:after="0" w:line="240" w:lineRule="auto"/>
              <w:jc w:val="center"/>
              <w:rPr>
                <w:sz w:val="22"/>
              </w:rPr>
            </w:pPr>
            <w:r>
              <w:rPr>
                <w:sz w:val="22"/>
              </w:rPr>
              <w:t>Direktur SDM dan Pendidikan</w:t>
            </w:r>
          </w:p>
        </w:tc>
        <w:tc>
          <w:tcPr>
            <w:tcW w:w="1283" w:type="dxa"/>
            <w:shd w:val="clear" w:color="auto" w:fill="auto"/>
            <w:tcMar>
              <w:top w:w="7" w:type="dxa"/>
              <w:left w:w="7" w:type="dxa"/>
              <w:bottom w:w="0" w:type="dxa"/>
              <w:right w:w="7" w:type="dxa"/>
            </w:tcMar>
          </w:tcPr>
          <w:p>
            <w:pPr>
              <w:spacing w:after="0"/>
              <w:jc w:val="center"/>
              <w:rPr>
                <w:sz w:val="22"/>
              </w:rPr>
            </w:pPr>
          </w:p>
        </w:tc>
        <w:tc>
          <w:tcPr>
            <w:tcW w:w="1081" w:type="dxa"/>
            <w:shd w:val="clear" w:color="auto" w:fill="auto"/>
            <w:tcMar>
              <w:top w:w="15" w:type="dxa"/>
              <w:left w:w="108" w:type="dxa"/>
              <w:bottom w:w="0" w:type="dxa"/>
              <w:right w:w="108" w:type="dxa"/>
            </w:tcMar>
          </w:tcPr>
          <w:p>
            <w:pPr>
              <w:spacing w:after="0"/>
              <w:jc w:val="center"/>
              <w:rPr>
                <w:sz w:val="22"/>
              </w:rPr>
            </w:pPr>
            <w:r>
              <w:rPr>
                <w:sz w:val="22"/>
              </w:rPr>
              <w:t>70</w:t>
            </w:r>
            <w:r>
              <w:rPr>
                <w:rFonts w:cs="Arial"/>
                <w:color w:val="000000"/>
                <w:kern w:val="24"/>
                <w:sz w:val="22"/>
              </w:rPr>
              <w:t>%</w:t>
            </w:r>
          </w:p>
        </w:tc>
        <w:tc>
          <w:tcPr>
            <w:tcW w:w="1249" w:type="dxa"/>
            <w:shd w:val="clear" w:color="auto" w:fill="auto"/>
            <w:tcMar>
              <w:top w:w="15" w:type="dxa"/>
              <w:left w:w="7" w:type="dxa"/>
              <w:bottom w:w="0" w:type="dxa"/>
              <w:right w:w="7" w:type="dxa"/>
            </w:tcMar>
          </w:tcPr>
          <w:p>
            <w:pPr>
              <w:spacing w:after="0"/>
              <w:jc w:val="center"/>
              <w:rPr>
                <w:sz w:val="22"/>
              </w:rPr>
            </w:pPr>
            <w:r>
              <w:rPr>
                <w:sz w:val="22"/>
              </w:rPr>
              <w:t>74</w:t>
            </w:r>
            <w:r>
              <w:rPr>
                <w:rFonts w:cs="Arial"/>
                <w:color w:val="000000"/>
                <w:kern w:val="24"/>
                <w:sz w:val="22"/>
              </w:rPr>
              <w:t>%</w:t>
            </w:r>
          </w:p>
        </w:tc>
        <w:tc>
          <w:tcPr>
            <w:tcW w:w="1182" w:type="dxa"/>
            <w:shd w:val="clear" w:color="auto" w:fill="auto"/>
            <w:tcMar>
              <w:top w:w="15" w:type="dxa"/>
              <w:left w:w="7" w:type="dxa"/>
              <w:bottom w:w="0" w:type="dxa"/>
              <w:right w:w="7" w:type="dxa"/>
            </w:tcMar>
          </w:tcPr>
          <w:p>
            <w:pPr>
              <w:spacing w:after="0"/>
              <w:jc w:val="center"/>
              <w:rPr>
                <w:sz w:val="22"/>
              </w:rPr>
            </w:pPr>
            <w:r>
              <w:rPr>
                <w:sz w:val="22"/>
              </w:rPr>
              <w:t>78</w:t>
            </w:r>
            <w:r>
              <w:rPr>
                <w:rFonts w:cs="Arial"/>
                <w:color w:val="000000"/>
                <w:kern w:val="24"/>
                <w:sz w:val="22"/>
              </w:rPr>
              <w:t>%</w:t>
            </w:r>
          </w:p>
        </w:tc>
        <w:tc>
          <w:tcPr>
            <w:tcW w:w="1182" w:type="dxa"/>
            <w:shd w:val="clear" w:color="auto" w:fill="auto"/>
            <w:tcMar>
              <w:top w:w="15" w:type="dxa"/>
              <w:left w:w="7" w:type="dxa"/>
              <w:bottom w:w="0" w:type="dxa"/>
              <w:right w:w="7" w:type="dxa"/>
            </w:tcMar>
          </w:tcPr>
          <w:p>
            <w:pPr>
              <w:spacing w:after="0"/>
              <w:jc w:val="center"/>
              <w:rPr>
                <w:sz w:val="22"/>
              </w:rPr>
            </w:pPr>
            <w:r>
              <w:rPr>
                <w:sz w:val="22"/>
              </w:rPr>
              <w:t>78</w:t>
            </w:r>
            <w:r>
              <w:rPr>
                <w:rFonts w:cs="Arial"/>
                <w:color w:val="000000"/>
                <w:kern w:val="24"/>
                <w:sz w:val="22"/>
              </w:rPr>
              <w:t>%</w:t>
            </w:r>
          </w:p>
        </w:tc>
        <w:tc>
          <w:tcPr>
            <w:tcW w:w="1249" w:type="dxa"/>
            <w:shd w:val="clear" w:color="auto" w:fill="auto"/>
            <w:tcMar>
              <w:top w:w="15" w:type="dxa"/>
              <w:left w:w="7" w:type="dxa"/>
              <w:bottom w:w="0" w:type="dxa"/>
              <w:right w:w="7" w:type="dxa"/>
            </w:tcMar>
          </w:tcPr>
          <w:p>
            <w:pPr>
              <w:spacing w:after="0"/>
              <w:jc w:val="center"/>
              <w:rPr>
                <w:sz w:val="22"/>
              </w:rPr>
            </w:pPr>
            <w:r>
              <w:rPr>
                <w:sz w:val="22"/>
              </w:rPr>
              <w:t>86</w:t>
            </w:r>
            <w:r>
              <w:rPr>
                <w:rFonts w:cs="Arial"/>
                <w:color w:val="000000"/>
                <w:kern w:val="24"/>
                <w:sz w:val="22"/>
              </w:rPr>
              <w: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34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8</w:t>
            </w:r>
          </w:p>
        </w:tc>
        <w:tc>
          <w:tcPr>
            <w:tcW w:w="3923" w:type="dxa"/>
            <w:shd w:val="clear" w:color="auto" w:fill="auto"/>
            <w:tcMar>
              <w:top w:w="7" w:type="dxa"/>
              <w:left w:w="7" w:type="dxa"/>
              <w:bottom w:w="0" w:type="dxa"/>
              <w:right w:w="7" w:type="dxa"/>
            </w:tcMar>
          </w:tcPr>
          <w:p>
            <w:pPr>
              <w:spacing w:after="0" w:line="240" w:lineRule="auto"/>
              <w:textAlignment w:val="center"/>
              <w:rPr>
                <w:rFonts w:cs="Arial"/>
                <w:sz w:val="22"/>
                <w:lang w:val="id-ID"/>
              </w:rPr>
            </w:pPr>
            <w:r>
              <w:t>% keberhasilan penangan kasus severity level 2 dan 3</w:t>
            </w:r>
            <w:r>
              <w:rPr>
                <w:lang w:val="id-ID"/>
              </w:rPr>
              <w:t xml:space="preserve"> pada layanan unggulan</w:t>
            </w:r>
          </w:p>
        </w:tc>
        <w:tc>
          <w:tcPr>
            <w:tcW w:w="3284" w:type="dxa"/>
            <w:shd w:val="clear" w:color="auto" w:fill="auto"/>
            <w:tcMar>
              <w:top w:w="7" w:type="dxa"/>
              <w:left w:w="7" w:type="dxa"/>
              <w:bottom w:w="0" w:type="dxa"/>
              <w:right w:w="7" w:type="dxa"/>
            </w:tcMar>
          </w:tcPr>
          <w:p>
            <w:pPr>
              <w:spacing w:after="0" w:line="240" w:lineRule="auto"/>
              <w:jc w:val="center"/>
              <w:textAlignment w:val="center"/>
              <w:rPr>
                <w:rFonts w:cs="Arial"/>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vAlign w:val="center"/>
          </w:tcPr>
          <w:p>
            <w:pPr>
              <w:spacing w:after="0" w:line="240" w:lineRule="auto"/>
              <w:jc w:val="center"/>
              <w:textAlignment w:val="center"/>
              <w:rPr>
                <w:rFonts w:cs="Arial"/>
                <w:sz w:val="22"/>
              </w:rPr>
            </w:pPr>
            <w:r>
              <w:rPr>
                <w:rFonts w:cs="Arial"/>
                <w:color w:val="000000"/>
                <w:kern w:val="24"/>
                <w:sz w:val="22"/>
              </w:rPr>
              <w:t>80.76</w:t>
            </w:r>
          </w:p>
        </w:tc>
        <w:tc>
          <w:tcPr>
            <w:tcW w:w="1081" w:type="dxa"/>
            <w:shd w:val="clear" w:color="auto" w:fill="auto"/>
            <w:tcMar>
              <w:top w:w="7" w:type="dxa"/>
              <w:left w:w="7" w:type="dxa"/>
              <w:bottom w:w="0" w:type="dxa"/>
              <w:right w:w="7" w:type="dxa"/>
            </w:tcMar>
            <w:vAlign w:val="center"/>
          </w:tcPr>
          <w:p>
            <w:pPr>
              <w:spacing w:after="0" w:line="240" w:lineRule="auto"/>
              <w:jc w:val="center"/>
              <w:textAlignment w:val="center"/>
              <w:rPr>
                <w:rFonts w:cs="Arial"/>
                <w:sz w:val="22"/>
              </w:rPr>
            </w:pPr>
            <w:r>
              <w:rPr>
                <w:rFonts w:cs="Arial"/>
                <w:color w:val="000000"/>
                <w:kern w:val="24"/>
                <w:sz w:val="22"/>
              </w:rPr>
              <w:t>83%</w:t>
            </w:r>
          </w:p>
        </w:tc>
        <w:tc>
          <w:tcPr>
            <w:tcW w:w="1249"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90%</w:t>
            </w:r>
          </w:p>
        </w:tc>
        <w:tc>
          <w:tcPr>
            <w:tcW w:w="1182"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90</w:t>
            </w:r>
            <w:r>
              <w:rPr>
                <w:rFonts w:cs="Arial" w:asciiTheme="minorHAnsi" w:hAnsiTheme="minorHAnsi"/>
                <w:sz w:val="22"/>
              </w:rPr>
              <w:t>%</w:t>
            </w:r>
          </w:p>
        </w:tc>
        <w:tc>
          <w:tcPr>
            <w:tcW w:w="1182"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90</w:t>
            </w:r>
            <w:r>
              <w:rPr>
                <w:rFonts w:cs="Arial" w:asciiTheme="minorHAnsi" w:hAnsiTheme="minorHAnsi"/>
                <w:sz w:val="22"/>
              </w:rPr>
              <w:t>%</w:t>
            </w:r>
          </w:p>
        </w:tc>
        <w:tc>
          <w:tcPr>
            <w:tcW w:w="1249"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94</w:t>
            </w:r>
            <w:r>
              <w:rPr>
                <w:rFonts w:cs="Arial" w:asciiTheme="minorHAnsi" w:hAnsiTheme="minorHAnsi"/>
                <w:sz w:val="22"/>
              </w:rPr>
              <w:t>%</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9</w:t>
            </w:r>
          </w:p>
        </w:tc>
        <w:tc>
          <w:tcPr>
            <w:tcW w:w="3923" w:type="dxa"/>
            <w:shd w:val="clear" w:color="auto" w:fill="auto"/>
            <w:tcMar>
              <w:top w:w="7" w:type="dxa"/>
              <w:left w:w="7" w:type="dxa"/>
              <w:bottom w:w="0" w:type="dxa"/>
              <w:right w:w="7" w:type="dxa"/>
            </w:tcMar>
          </w:tcPr>
          <w:p>
            <w:pPr>
              <w:tabs>
                <w:tab w:val="left" w:pos="245"/>
              </w:tabs>
              <w:spacing w:after="0"/>
              <w:rPr>
                <w:sz w:val="22"/>
              </w:rPr>
            </w:pPr>
            <w:r>
              <w:t>NDR  rumah sakit</w:t>
            </w:r>
          </w:p>
        </w:tc>
        <w:tc>
          <w:tcPr>
            <w:tcW w:w="3284" w:type="dxa"/>
            <w:shd w:val="clear" w:color="auto" w:fill="auto"/>
            <w:tcMar>
              <w:top w:w="7" w:type="dxa"/>
              <w:left w:w="7" w:type="dxa"/>
              <w:bottom w:w="0" w:type="dxa"/>
              <w:right w:w="7" w:type="dxa"/>
            </w:tcMar>
          </w:tcPr>
          <w:p>
            <w:pPr>
              <w:tabs>
                <w:tab w:val="left" w:pos="245"/>
              </w:tabs>
              <w:spacing w:after="0"/>
              <w:jc w:val="center"/>
              <w:rPr>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20"/>
              </w:rPr>
            </w:pPr>
            <w:r>
              <w:rPr>
                <w:rFonts w:ascii="Arial" w:hAnsi="Arial" w:cs="Arial"/>
                <w:sz w:val="20"/>
              </w:rPr>
              <w:t>42,8</w:t>
            </w:r>
          </w:p>
        </w:tc>
        <w:tc>
          <w:tcPr>
            <w:tcW w:w="1081"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20"/>
              </w:rPr>
            </w:pPr>
            <w:r>
              <w:rPr>
                <w:rFonts w:ascii="Arial" w:hAnsi="Arial" w:cs="Arial"/>
                <w:sz w:val="20"/>
              </w:rPr>
              <w:t>47,9‰</w:t>
            </w:r>
          </w:p>
        </w:tc>
        <w:tc>
          <w:tcPr>
            <w:tcW w:w="1249"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20"/>
              </w:rPr>
            </w:pPr>
            <w:r>
              <w:rPr>
                <w:rFonts w:ascii="Arial" w:hAnsi="Arial" w:cs="Arial"/>
                <w:sz w:val="20"/>
              </w:rPr>
              <w:t>47,4‰</w:t>
            </w:r>
          </w:p>
        </w:tc>
        <w:tc>
          <w:tcPr>
            <w:tcW w:w="1182" w:type="dxa"/>
            <w:shd w:val="clear" w:color="auto" w:fill="auto"/>
            <w:tcMar>
              <w:top w:w="7" w:type="dxa"/>
              <w:left w:w="7" w:type="dxa"/>
              <w:bottom w:w="0" w:type="dxa"/>
              <w:right w:w="7" w:type="dxa"/>
            </w:tcMar>
            <w:vAlign w:val="center"/>
          </w:tcPr>
          <w:p>
            <w:pPr>
              <w:spacing w:after="0" w:line="240" w:lineRule="auto"/>
              <w:jc w:val="center"/>
              <w:rPr>
                <w:rFonts w:ascii="Arial" w:hAnsi="Arial" w:cs="Arial"/>
                <w:sz w:val="20"/>
              </w:rPr>
            </w:pPr>
            <w:r>
              <w:rPr>
                <w:rFonts w:ascii="Arial" w:hAnsi="Arial" w:cs="Arial"/>
                <w:sz w:val="20"/>
              </w:rPr>
              <w:t>45‰</w:t>
            </w:r>
          </w:p>
        </w:tc>
        <w:tc>
          <w:tcPr>
            <w:tcW w:w="1182" w:type="dxa"/>
            <w:shd w:val="clear" w:color="auto" w:fill="auto"/>
            <w:tcMar>
              <w:top w:w="7" w:type="dxa"/>
              <w:left w:w="7" w:type="dxa"/>
              <w:bottom w:w="0" w:type="dxa"/>
              <w:right w:w="7" w:type="dxa"/>
            </w:tcMar>
            <w:vAlign w:val="center"/>
          </w:tcPr>
          <w:p>
            <w:pPr>
              <w:spacing w:before="60" w:after="0" w:line="240" w:lineRule="auto"/>
              <w:jc w:val="center"/>
              <w:rPr>
                <w:rFonts w:cs="Arial"/>
                <w:sz w:val="20"/>
                <w:szCs w:val="20"/>
              </w:rPr>
            </w:pPr>
            <w:r>
              <w:rPr>
                <w:rFonts w:cs="Arial"/>
                <w:sz w:val="20"/>
                <w:szCs w:val="20"/>
                <w:lang w:val="id-ID"/>
              </w:rPr>
              <w:t>4</w:t>
            </w:r>
            <w:r>
              <w:rPr>
                <w:rFonts w:cs="Arial"/>
                <w:sz w:val="20"/>
                <w:szCs w:val="20"/>
              </w:rPr>
              <w:t>3</w:t>
            </w:r>
            <w:r>
              <w:rPr>
                <w:rFonts w:ascii="Arial" w:hAnsi="Arial" w:cs="Arial"/>
                <w:sz w:val="18"/>
              </w:rPr>
              <w:t>‰</w:t>
            </w:r>
          </w:p>
        </w:tc>
        <w:tc>
          <w:tcPr>
            <w:tcW w:w="1249" w:type="dxa"/>
            <w:shd w:val="clear" w:color="auto" w:fill="auto"/>
            <w:tcMar>
              <w:top w:w="7" w:type="dxa"/>
              <w:left w:w="7" w:type="dxa"/>
              <w:bottom w:w="0" w:type="dxa"/>
              <w:right w:w="7" w:type="dxa"/>
            </w:tcMar>
            <w:vAlign w:val="center"/>
          </w:tcPr>
          <w:p>
            <w:pPr>
              <w:spacing w:before="60" w:after="0" w:line="240" w:lineRule="auto"/>
              <w:jc w:val="center"/>
              <w:rPr>
                <w:rFonts w:cs="Arial"/>
                <w:sz w:val="20"/>
                <w:szCs w:val="20"/>
              </w:rPr>
            </w:pPr>
            <w:r>
              <w:rPr>
                <w:rFonts w:cs="Arial"/>
                <w:sz w:val="20"/>
                <w:szCs w:val="20"/>
              </w:rPr>
              <w:t>41‰</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10</w:t>
            </w:r>
          </w:p>
        </w:tc>
        <w:tc>
          <w:tcPr>
            <w:tcW w:w="3923" w:type="dxa"/>
            <w:shd w:val="clear" w:color="auto" w:fill="auto"/>
            <w:tcMar>
              <w:top w:w="7" w:type="dxa"/>
              <w:left w:w="7" w:type="dxa"/>
              <w:bottom w:w="0" w:type="dxa"/>
              <w:right w:w="7" w:type="dxa"/>
            </w:tcMar>
          </w:tcPr>
          <w:p>
            <w:pPr>
              <w:tabs>
                <w:tab w:val="left" w:pos="245"/>
              </w:tabs>
              <w:spacing w:after="0"/>
              <w:rPr>
                <w:sz w:val="22"/>
              </w:rPr>
            </w:pPr>
            <w:r>
              <w:t>% kasus rujukan yang tepat</w:t>
            </w:r>
          </w:p>
        </w:tc>
        <w:tc>
          <w:tcPr>
            <w:tcW w:w="3284" w:type="dxa"/>
            <w:shd w:val="clear" w:color="auto" w:fill="auto"/>
            <w:tcMar>
              <w:top w:w="7" w:type="dxa"/>
              <w:left w:w="7" w:type="dxa"/>
              <w:bottom w:w="0" w:type="dxa"/>
              <w:right w:w="7" w:type="dxa"/>
            </w:tcMar>
          </w:tcPr>
          <w:p>
            <w:pPr>
              <w:spacing w:after="0"/>
              <w:jc w:val="center"/>
              <w:rPr>
                <w:color w:val="FF0000"/>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tcPr>
          <w:p>
            <w:pPr>
              <w:tabs>
                <w:tab w:val="left" w:pos="245"/>
              </w:tabs>
              <w:spacing w:after="0"/>
              <w:jc w:val="center"/>
              <w:rPr>
                <w:sz w:val="22"/>
              </w:rPr>
            </w:pPr>
            <w:r>
              <w:rPr>
                <w:sz w:val="22"/>
              </w:rPr>
              <w:t>20-25%</w:t>
            </w:r>
          </w:p>
        </w:tc>
        <w:tc>
          <w:tcPr>
            <w:tcW w:w="1081"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48%</w:t>
            </w:r>
          </w:p>
        </w:tc>
        <w:tc>
          <w:tcPr>
            <w:tcW w:w="1249"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50%</w:t>
            </w:r>
          </w:p>
        </w:tc>
        <w:tc>
          <w:tcPr>
            <w:tcW w:w="1182"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55%</w:t>
            </w:r>
          </w:p>
        </w:tc>
        <w:tc>
          <w:tcPr>
            <w:tcW w:w="1182"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60%</w:t>
            </w:r>
          </w:p>
        </w:tc>
        <w:tc>
          <w:tcPr>
            <w:tcW w:w="1249" w:type="dxa"/>
            <w:shd w:val="clear" w:color="auto" w:fill="auto"/>
            <w:tcMar>
              <w:top w:w="7" w:type="dxa"/>
              <w:left w:w="7" w:type="dxa"/>
              <w:bottom w:w="0" w:type="dxa"/>
              <w:right w:w="7" w:type="dxa"/>
            </w:tcMar>
            <w:vAlign w:val="center"/>
          </w:tcPr>
          <w:p>
            <w:pPr>
              <w:spacing w:after="0" w:line="240" w:lineRule="auto"/>
              <w:jc w:val="center"/>
              <w:rPr>
                <w:rFonts w:cs="Arial" w:asciiTheme="minorHAnsi" w:hAnsiTheme="minorHAnsi"/>
                <w:sz w:val="22"/>
              </w:rPr>
            </w:pPr>
            <w:r>
              <w:rPr>
                <w:rFonts w:cs="Arial" w:asciiTheme="minorHAnsi" w:hAnsiTheme="minorHAnsi"/>
                <w:sz w:val="22"/>
              </w:rPr>
              <w:t>66%</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11</w:t>
            </w:r>
          </w:p>
        </w:tc>
        <w:tc>
          <w:tcPr>
            <w:tcW w:w="3923" w:type="dxa"/>
            <w:shd w:val="clear" w:color="auto" w:fill="auto"/>
            <w:tcMar>
              <w:top w:w="7" w:type="dxa"/>
              <w:left w:w="7" w:type="dxa"/>
              <w:bottom w:w="0" w:type="dxa"/>
              <w:right w:w="7" w:type="dxa"/>
            </w:tcMar>
          </w:tcPr>
          <w:p>
            <w:pPr>
              <w:tabs>
                <w:tab w:val="left" w:pos="245"/>
              </w:tabs>
              <w:spacing w:after="0"/>
              <w:rPr>
                <w:sz w:val="22"/>
              </w:rPr>
            </w:pPr>
            <w:r>
              <w:t>Jumlah KSO alat medik&gt;Rp.3 M</w:t>
            </w:r>
          </w:p>
        </w:tc>
        <w:tc>
          <w:tcPr>
            <w:tcW w:w="3284" w:type="dxa"/>
            <w:shd w:val="clear" w:color="auto" w:fill="auto"/>
            <w:tcMar>
              <w:top w:w="7" w:type="dxa"/>
              <w:left w:w="7" w:type="dxa"/>
              <w:bottom w:w="0" w:type="dxa"/>
              <w:right w:w="7" w:type="dxa"/>
            </w:tcMar>
          </w:tcPr>
          <w:p>
            <w:pPr>
              <w:tabs>
                <w:tab w:val="left" w:pos="245"/>
              </w:tabs>
              <w:spacing w:after="0"/>
              <w:jc w:val="center"/>
              <w:rPr>
                <w:sz w:val="22"/>
              </w:rPr>
            </w:pPr>
            <w:r>
              <w:rPr>
                <w:sz w:val="22"/>
              </w:rPr>
              <w:t>Direktur Umum &amp; Operasional</w:t>
            </w:r>
          </w:p>
        </w:tc>
        <w:tc>
          <w:tcPr>
            <w:tcW w:w="1283" w:type="dxa"/>
            <w:shd w:val="clear" w:color="auto" w:fill="FFFFFF" w:themeFill="background1"/>
            <w:tcMar>
              <w:top w:w="7" w:type="dxa"/>
              <w:left w:w="7" w:type="dxa"/>
              <w:bottom w:w="0" w:type="dxa"/>
              <w:right w:w="7" w:type="dxa"/>
            </w:tcMar>
          </w:tcPr>
          <w:p>
            <w:pPr>
              <w:tabs>
                <w:tab w:val="left" w:pos="245"/>
              </w:tabs>
              <w:spacing w:after="0"/>
              <w:jc w:val="center"/>
              <w:rPr>
                <w:sz w:val="22"/>
              </w:rPr>
            </w:pPr>
            <w:r>
              <w:rPr>
                <w:sz w:val="22"/>
              </w:rPr>
              <w:t>2</w:t>
            </w:r>
          </w:p>
        </w:tc>
        <w:tc>
          <w:tcPr>
            <w:tcW w:w="1081" w:type="dxa"/>
            <w:shd w:val="clear" w:color="auto" w:fill="FFFFFF" w:themeFill="background1"/>
            <w:tcMar>
              <w:top w:w="7" w:type="dxa"/>
              <w:left w:w="7" w:type="dxa"/>
              <w:bottom w:w="0" w:type="dxa"/>
              <w:right w:w="7" w:type="dxa"/>
            </w:tcMar>
          </w:tcPr>
          <w:p>
            <w:pPr>
              <w:tabs>
                <w:tab w:val="left" w:pos="245"/>
              </w:tabs>
              <w:spacing w:after="0"/>
              <w:jc w:val="center"/>
              <w:rPr>
                <w:sz w:val="22"/>
              </w:rPr>
            </w:pPr>
            <w:r>
              <w:rPr>
                <w:sz w:val="22"/>
              </w:rPr>
              <w:t>5</w:t>
            </w:r>
          </w:p>
        </w:tc>
        <w:tc>
          <w:tcPr>
            <w:tcW w:w="1249" w:type="dxa"/>
            <w:shd w:val="clear" w:color="auto" w:fill="FFFFFF" w:themeFill="background1"/>
            <w:tcMar>
              <w:top w:w="7" w:type="dxa"/>
              <w:left w:w="7" w:type="dxa"/>
              <w:bottom w:w="0" w:type="dxa"/>
              <w:right w:w="7" w:type="dxa"/>
            </w:tcMa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tcPr>
          <w:p>
            <w:pPr>
              <w:tabs>
                <w:tab w:val="left" w:pos="245"/>
              </w:tabs>
              <w:spacing w:after="0"/>
              <w:jc w:val="center"/>
              <w:rPr>
                <w:sz w:val="22"/>
              </w:rPr>
            </w:pPr>
            <w:r>
              <w:rPr>
                <w:sz w:val="22"/>
              </w:rPr>
              <w:t>5</w:t>
            </w:r>
          </w:p>
        </w:tc>
        <w:tc>
          <w:tcPr>
            <w:tcW w:w="1249" w:type="dxa"/>
            <w:shd w:val="clear" w:color="auto" w:fill="auto"/>
            <w:tcMar>
              <w:top w:w="7" w:type="dxa"/>
              <w:left w:w="7" w:type="dxa"/>
              <w:bottom w:w="0" w:type="dxa"/>
              <w:right w:w="7" w:type="dxa"/>
            </w:tcMar>
          </w:tcPr>
          <w:p>
            <w:pPr>
              <w:tabs>
                <w:tab w:val="left" w:pos="245"/>
              </w:tabs>
              <w:spacing w:after="0"/>
              <w:jc w:val="center"/>
              <w:rPr>
                <w:sz w:val="22"/>
              </w:rPr>
            </w:pPr>
            <w:r>
              <w:rPr>
                <w:sz w:val="22"/>
              </w:rPr>
              <w:t>7</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12</w:t>
            </w:r>
          </w:p>
        </w:tc>
        <w:tc>
          <w:tcPr>
            <w:tcW w:w="3923" w:type="dxa"/>
            <w:shd w:val="clear" w:color="auto" w:fill="auto"/>
            <w:tcMar>
              <w:top w:w="7" w:type="dxa"/>
              <w:left w:w="7" w:type="dxa"/>
              <w:bottom w:w="0" w:type="dxa"/>
              <w:right w:w="7" w:type="dxa"/>
            </w:tcMar>
          </w:tcPr>
          <w:p>
            <w:pPr>
              <w:tabs>
                <w:tab w:val="left" w:pos="245"/>
              </w:tabs>
              <w:spacing w:after="0"/>
              <w:rPr>
                <w:sz w:val="22"/>
                <w:lang w:val="sv-SE"/>
              </w:rPr>
            </w:pPr>
            <w:r>
              <w:t xml:space="preserve">Jumlah PPK (panduan praktek klinik) yang diimplementasikan di faskes jejaring </w:t>
            </w:r>
          </w:p>
        </w:tc>
        <w:tc>
          <w:tcPr>
            <w:tcW w:w="3284" w:type="dxa"/>
            <w:shd w:val="clear" w:color="auto" w:fill="auto"/>
            <w:tcMar>
              <w:top w:w="7" w:type="dxa"/>
              <w:left w:w="7" w:type="dxa"/>
              <w:bottom w:w="0" w:type="dxa"/>
              <w:right w:w="7" w:type="dxa"/>
            </w:tcMar>
            <w:vAlign w:val="center"/>
          </w:tcPr>
          <w:p>
            <w:pPr>
              <w:tabs>
                <w:tab w:val="left" w:pos="245"/>
              </w:tabs>
              <w:spacing w:after="0"/>
              <w:jc w:val="center"/>
              <w:rPr>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5</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13</w:t>
            </w:r>
          </w:p>
        </w:tc>
        <w:tc>
          <w:tcPr>
            <w:tcW w:w="3923" w:type="dxa"/>
            <w:shd w:val="clear" w:color="auto" w:fill="auto"/>
            <w:tcMar>
              <w:top w:w="7" w:type="dxa"/>
              <w:left w:w="7" w:type="dxa"/>
              <w:bottom w:w="0" w:type="dxa"/>
              <w:right w:w="7" w:type="dxa"/>
            </w:tcMar>
          </w:tcPr>
          <w:p>
            <w:pPr>
              <w:tabs>
                <w:tab w:val="left" w:pos="245"/>
              </w:tabs>
              <w:spacing w:after="0"/>
              <w:rPr>
                <w:sz w:val="22"/>
                <w:lang w:val="id-ID"/>
              </w:rPr>
            </w:pPr>
            <w:r>
              <w:t>% kepatuhan clinical pathway</w:t>
            </w:r>
          </w:p>
        </w:tc>
        <w:tc>
          <w:tcPr>
            <w:tcW w:w="3284" w:type="dxa"/>
            <w:shd w:val="clear" w:color="auto" w:fill="auto"/>
            <w:tcMar>
              <w:top w:w="7" w:type="dxa"/>
              <w:left w:w="7" w:type="dxa"/>
              <w:bottom w:w="0" w:type="dxa"/>
              <w:right w:w="7" w:type="dxa"/>
            </w:tcMar>
            <w:vAlign w:val="center"/>
          </w:tcPr>
          <w:p>
            <w:pPr>
              <w:tabs>
                <w:tab w:val="left" w:pos="245"/>
              </w:tabs>
              <w:spacing w:after="0"/>
              <w:jc w:val="center"/>
              <w:rPr>
                <w:color w:val="FF0000"/>
                <w:sz w:val="22"/>
              </w:rPr>
            </w:pPr>
            <w:r>
              <w:rPr>
                <w:rFonts w:cs="Arial"/>
                <w:color w:val="000000"/>
                <w:kern w:val="24"/>
                <w:sz w:val="22"/>
              </w:rPr>
              <w:t>Direktur Medik &amp; Keperawatan</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26.3</w:t>
            </w: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40</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50</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70</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90</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90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14</w:t>
            </w:r>
          </w:p>
        </w:tc>
        <w:tc>
          <w:tcPr>
            <w:tcW w:w="3923" w:type="dxa"/>
            <w:shd w:val="clear" w:color="auto" w:fill="auto"/>
            <w:tcMar>
              <w:top w:w="7" w:type="dxa"/>
              <w:left w:w="7" w:type="dxa"/>
              <w:bottom w:w="0" w:type="dxa"/>
              <w:right w:w="7" w:type="dxa"/>
            </w:tcMar>
            <w:vAlign w:val="center"/>
          </w:tcPr>
          <w:p>
            <w:pPr>
              <w:spacing w:after="0"/>
              <w:rPr>
                <w:sz w:val="22"/>
              </w:rPr>
            </w:pPr>
            <w:r>
              <w:t xml:space="preserve">Jumlah publikasi riset </w:t>
            </w:r>
          </w:p>
        </w:tc>
        <w:tc>
          <w:tcPr>
            <w:tcW w:w="3284" w:type="dxa"/>
            <w:shd w:val="clear" w:color="auto" w:fill="auto"/>
            <w:tcMar>
              <w:top w:w="7" w:type="dxa"/>
              <w:left w:w="7" w:type="dxa"/>
              <w:bottom w:w="0" w:type="dxa"/>
              <w:right w:w="7" w:type="dxa"/>
            </w:tcMar>
          </w:tcPr>
          <w:p>
            <w:pPr>
              <w:spacing w:after="0"/>
              <w:jc w:val="center"/>
              <w:rPr>
                <w:sz w:val="22"/>
              </w:rPr>
            </w:pPr>
            <w:r>
              <w:rPr>
                <w:sz w:val="22"/>
              </w:rPr>
              <w:t>Direktur SDM dan Pendidikan</w:t>
            </w:r>
          </w:p>
        </w:tc>
        <w:tc>
          <w:tcPr>
            <w:tcW w:w="1283" w:type="dxa"/>
            <w:shd w:val="clear" w:color="auto" w:fill="auto"/>
            <w:tcMar>
              <w:top w:w="7" w:type="dxa"/>
              <w:left w:w="7" w:type="dxa"/>
              <w:bottom w:w="0" w:type="dxa"/>
              <w:right w:w="7" w:type="dxa"/>
            </w:tcMar>
          </w:tcPr>
          <w:p>
            <w:pPr>
              <w:spacing w:after="0"/>
              <w:jc w:val="center"/>
              <w:rPr>
                <w:sz w:val="22"/>
              </w:rPr>
            </w:pPr>
          </w:p>
        </w:tc>
        <w:tc>
          <w:tcPr>
            <w:tcW w:w="1081" w:type="dxa"/>
            <w:shd w:val="clear" w:color="auto" w:fill="auto"/>
            <w:tcMar>
              <w:top w:w="7" w:type="dxa"/>
              <w:left w:w="7" w:type="dxa"/>
              <w:bottom w:w="0" w:type="dxa"/>
              <w:right w:w="7" w:type="dxa"/>
            </w:tcMar>
            <w:vAlign w:val="center"/>
          </w:tcPr>
          <w:p>
            <w:pPr>
              <w:spacing w:after="0"/>
              <w:jc w:val="center"/>
              <w:rPr>
                <w:sz w:val="22"/>
              </w:rPr>
            </w:pPr>
            <w:r>
              <w:rPr>
                <w:sz w:val="22"/>
              </w:rPr>
              <w:t>100</w:t>
            </w:r>
          </w:p>
        </w:tc>
        <w:tc>
          <w:tcPr>
            <w:tcW w:w="1249" w:type="dxa"/>
            <w:shd w:val="clear" w:color="auto" w:fill="auto"/>
            <w:tcMar>
              <w:top w:w="7" w:type="dxa"/>
              <w:left w:w="7" w:type="dxa"/>
              <w:bottom w:w="0" w:type="dxa"/>
              <w:right w:w="7" w:type="dxa"/>
            </w:tcMar>
            <w:vAlign w:val="center"/>
          </w:tcPr>
          <w:p>
            <w:pPr>
              <w:spacing w:after="0"/>
              <w:jc w:val="center"/>
              <w:rPr>
                <w:sz w:val="22"/>
              </w:rPr>
            </w:pPr>
            <w:r>
              <w:rPr>
                <w:sz w:val="22"/>
              </w:rPr>
              <w:t>150</w:t>
            </w:r>
          </w:p>
        </w:tc>
        <w:tc>
          <w:tcPr>
            <w:tcW w:w="1182" w:type="dxa"/>
            <w:shd w:val="clear" w:color="auto" w:fill="auto"/>
            <w:tcMar>
              <w:top w:w="7" w:type="dxa"/>
              <w:left w:w="7" w:type="dxa"/>
              <w:bottom w:w="0" w:type="dxa"/>
              <w:right w:w="7" w:type="dxa"/>
            </w:tcMar>
            <w:vAlign w:val="center"/>
          </w:tcPr>
          <w:p>
            <w:pPr>
              <w:spacing w:after="0"/>
              <w:jc w:val="center"/>
              <w:rPr>
                <w:sz w:val="22"/>
              </w:rPr>
            </w:pPr>
            <w:r>
              <w:rPr>
                <w:sz w:val="22"/>
              </w:rPr>
              <w:t>165</w:t>
            </w:r>
          </w:p>
        </w:tc>
        <w:tc>
          <w:tcPr>
            <w:tcW w:w="1182" w:type="dxa"/>
            <w:shd w:val="clear" w:color="auto" w:fill="auto"/>
            <w:tcMar>
              <w:top w:w="7" w:type="dxa"/>
              <w:left w:w="7" w:type="dxa"/>
              <w:bottom w:w="0" w:type="dxa"/>
              <w:right w:w="7" w:type="dxa"/>
            </w:tcMar>
            <w:vAlign w:val="center"/>
          </w:tcPr>
          <w:p>
            <w:pPr>
              <w:spacing w:after="0"/>
              <w:jc w:val="center"/>
              <w:rPr>
                <w:sz w:val="22"/>
              </w:rPr>
            </w:pPr>
            <w:r>
              <w:rPr>
                <w:sz w:val="22"/>
              </w:rPr>
              <w:t>182</w:t>
            </w:r>
          </w:p>
        </w:tc>
        <w:tc>
          <w:tcPr>
            <w:tcW w:w="1249" w:type="dxa"/>
            <w:shd w:val="clear" w:color="auto" w:fill="auto"/>
            <w:tcMar>
              <w:top w:w="7" w:type="dxa"/>
              <w:left w:w="7" w:type="dxa"/>
              <w:bottom w:w="0" w:type="dxa"/>
              <w:right w:w="7" w:type="dxa"/>
            </w:tcMar>
            <w:vAlign w:val="center"/>
          </w:tcPr>
          <w:p>
            <w:pPr>
              <w:spacing w:after="0"/>
              <w:jc w:val="center"/>
              <w:rPr>
                <w:sz w:val="22"/>
              </w:rPr>
            </w:pPr>
            <w:r>
              <w:rPr>
                <w:sz w:val="22"/>
              </w:rPr>
              <w:t>200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tcPr>
          <w:p>
            <w:pPr>
              <w:tabs>
                <w:tab w:val="left" w:pos="245"/>
              </w:tabs>
              <w:spacing w:after="0"/>
              <w:jc w:val="center"/>
              <w:rPr>
                <w:sz w:val="22"/>
              </w:rPr>
            </w:pPr>
            <w:r>
              <w:rPr>
                <w:sz w:val="22"/>
              </w:rPr>
              <w:t>15</w:t>
            </w:r>
          </w:p>
        </w:tc>
        <w:tc>
          <w:tcPr>
            <w:tcW w:w="3923" w:type="dxa"/>
            <w:shd w:val="clear" w:color="auto" w:fill="auto"/>
            <w:tcMar>
              <w:top w:w="7" w:type="dxa"/>
              <w:left w:w="7" w:type="dxa"/>
              <w:bottom w:w="0" w:type="dxa"/>
              <w:right w:w="7" w:type="dxa"/>
            </w:tcMar>
            <w:vAlign w:val="center"/>
          </w:tcPr>
          <w:p>
            <w:pPr>
              <w:tabs>
                <w:tab w:val="left" w:pos="245"/>
              </w:tabs>
              <w:spacing w:after="0"/>
              <w:rPr>
                <w:sz w:val="22"/>
              </w:rPr>
            </w:pPr>
            <w:r>
              <w:t>Jumlah SPO bersama RSHS</w:t>
            </w:r>
            <w:r>
              <w:rPr>
                <w:lang w:val="id-ID"/>
              </w:rPr>
              <w:t>-</w:t>
            </w:r>
            <w:r>
              <w:t>FKUP yang diimplementasika</w:t>
            </w:r>
            <w:r>
              <w:rPr>
                <w:lang w:val="id-ID"/>
              </w:rPr>
              <w:t>n</w:t>
            </w:r>
          </w:p>
        </w:tc>
        <w:tc>
          <w:tcPr>
            <w:tcW w:w="3284" w:type="dxa"/>
            <w:shd w:val="clear" w:color="auto" w:fill="auto"/>
            <w:tcMar>
              <w:top w:w="7" w:type="dxa"/>
              <w:left w:w="7" w:type="dxa"/>
              <w:bottom w:w="0" w:type="dxa"/>
              <w:right w:w="7" w:type="dxa"/>
            </w:tcMar>
          </w:tcPr>
          <w:p>
            <w:pPr>
              <w:tabs>
                <w:tab w:val="left" w:pos="245"/>
              </w:tabs>
              <w:spacing w:after="0"/>
              <w:jc w:val="center"/>
              <w:rPr>
                <w:sz w:val="22"/>
              </w:rPr>
            </w:pPr>
            <w:r>
              <w:rPr>
                <w:sz w:val="22"/>
              </w:rPr>
              <w:t>Direktur Umum &amp; Operasional</w:t>
            </w:r>
          </w:p>
        </w:tc>
        <w:tc>
          <w:tcPr>
            <w:tcW w:w="1283" w:type="dxa"/>
            <w:shd w:val="clear" w:color="auto" w:fill="auto"/>
            <w:tcMar>
              <w:top w:w="7" w:type="dxa"/>
              <w:left w:w="7" w:type="dxa"/>
              <w:bottom w:w="0" w:type="dxa"/>
              <w:right w:w="7" w:type="dxa"/>
            </w:tcMar>
          </w:tcPr>
          <w:p>
            <w:pPr>
              <w:tabs>
                <w:tab w:val="left" w:pos="245"/>
              </w:tabs>
              <w:spacing w:after="0"/>
              <w:jc w:val="center"/>
              <w:rPr>
                <w:sz w:val="22"/>
              </w:rPr>
            </w:pPr>
          </w:p>
        </w:tc>
        <w:tc>
          <w:tcPr>
            <w:tcW w:w="1081" w:type="dxa"/>
            <w:shd w:val="clear" w:color="auto" w:fill="auto"/>
            <w:tcMar>
              <w:top w:w="7" w:type="dxa"/>
              <w:left w:w="7" w:type="dxa"/>
              <w:bottom w:w="0" w:type="dxa"/>
              <w:right w:w="7" w:type="dxa"/>
            </w:tcMar>
          </w:tcPr>
          <w:p>
            <w:pPr>
              <w:tabs>
                <w:tab w:val="left" w:pos="245"/>
              </w:tabs>
              <w:spacing w:after="0"/>
              <w:jc w:val="center"/>
              <w:rPr>
                <w:sz w:val="22"/>
              </w:rPr>
            </w:pPr>
            <w:r>
              <w:rPr>
                <w:sz w:val="22"/>
              </w:rPr>
              <w:t xml:space="preserve">5 </w:t>
            </w:r>
          </w:p>
        </w:tc>
        <w:tc>
          <w:tcPr>
            <w:tcW w:w="1249" w:type="dxa"/>
            <w:shd w:val="clear" w:color="auto" w:fill="auto"/>
            <w:tcMar>
              <w:top w:w="7" w:type="dxa"/>
              <w:left w:w="7" w:type="dxa"/>
              <w:bottom w:w="0" w:type="dxa"/>
              <w:right w:w="7" w:type="dxa"/>
            </w:tcMa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tcPr>
          <w:p>
            <w:pPr>
              <w:tabs>
                <w:tab w:val="left" w:pos="245"/>
              </w:tabs>
              <w:spacing w:after="0"/>
              <w:jc w:val="center"/>
              <w:rPr>
                <w:sz w:val="22"/>
              </w:rPr>
            </w:pPr>
            <w:r>
              <w:rPr>
                <w:sz w:val="22"/>
              </w:rPr>
              <w:t>5</w:t>
            </w:r>
          </w:p>
        </w:tc>
        <w:tc>
          <w:tcPr>
            <w:tcW w:w="1182" w:type="dxa"/>
            <w:shd w:val="clear" w:color="auto" w:fill="auto"/>
            <w:tcMar>
              <w:top w:w="7" w:type="dxa"/>
              <w:left w:w="7" w:type="dxa"/>
              <w:bottom w:w="0" w:type="dxa"/>
              <w:right w:w="7" w:type="dxa"/>
            </w:tcMar>
          </w:tcPr>
          <w:p>
            <w:pPr>
              <w:tabs>
                <w:tab w:val="left" w:pos="245"/>
              </w:tabs>
              <w:spacing w:after="0"/>
              <w:jc w:val="center"/>
              <w:rPr>
                <w:sz w:val="22"/>
                <w:lang w:val="en-US"/>
              </w:rPr>
            </w:pPr>
            <w:r>
              <w:rPr>
                <w:sz w:val="22"/>
                <w:lang w:val="en-US"/>
              </w:rPr>
              <w:t>7</w:t>
            </w:r>
          </w:p>
        </w:tc>
        <w:tc>
          <w:tcPr>
            <w:tcW w:w="1249" w:type="dxa"/>
            <w:shd w:val="clear" w:color="auto" w:fill="auto"/>
            <w:tcMar>
              <w:top w:w="7" w:type="dxa"/>
              <w:left w:w="7" w:type="dxa"/>
              <w:bottom w:w="0" w:type="dxa"/>
              <w:right w:w="7" w:type="dxa"/>
            </w:tcMar>
          </w:tcPr>
          <w:p>
            <w:pPr>
              <w:tabs>
                <w:tab w:val="left" w:pos="245"/>
              </w:tabs>
              <w:spacing w:after="0"/>
              <w:jc w:val="center"/>
              <w:rPr>
                <w:sz w:val="22"/>
              </w:rPr>
            </w:pPr>
            <w:r>
              <w:rPr>
                <w:sz w:val="22"/>
              </w:rPr>
              <w:t>7</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16</w:t>
            </w:r>
          </w:p>
        </w:tc>
        <w:tc>
          <w:tcPr>
            <w:tcW w:w="3923" w:type="dxa"/>
            <w:shd w:val="clear" w:color="auto" w:fill="auto"/>
            <w:tcMar>
              <w:top w:w="7" w:type="dxa"/>
              <w:left w:w="7" w:type="dxa"/>
              <w:bottom w:w="0" w:type="dxa"/>
              <w:right w:w="7" w:type="dxa"/>
            </w:tcMar>
            <w:vAlign w:val="center"/>
          </w:tcPr>
          <w:p>
            <w:pPr>
              <w:tabs>
                <w:tab w:val="left" w:pos="245"/>
              </w:tabs>
              <w:spacing w:after="0"/>
              <w:rPr>
                <w:sz w:val="22"/>
              </w:rPr>
            </w:pPr>
            <w:r>
              <w:t>Tingkat keandalan sarpras (</w:t>
            </w:r>
            <w:r>
              <w:rPr>
                <w:i/>
              </w:rPr>
              <w:t>Overall Equipment Effectiveness</w:t>
            </w:r>
            <w:r>
              <w:t>/ OEE)</w:t>
            </w:r>
          </w:p>
        </w:tc>
        <w:tc>
          <w:tcPr>
            <w:tcW w:w="3284"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Direktur Umum &amp; Operasional</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lang w:val="id-ID"/>
              </w:rPr>
              <w:t>7</w:t>
            </w:r>
            <w:r>
              <w:rPr>
                <w:sz w:val="22"/>
              </w:rPr>
              <w:t>5</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lang w:val="id-ID"/>
              </w:rPr>
              <w:t>7</w:t>
            </w:r>
            <w:r>
              <w:rPr>
                <w:sz w:val="22"/>
              </w:rPr>
              <w:t>8</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85</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17</w:t>
            </w:r>
          </w:p>
        </w:tc>
        <w:tc>
          <w:tcPr>
            <w:tcW w:w="3923" w:type="dxa"/>
            <w:shd w:val="clear" w:color="auto" w:fill="auto"/>
            <w:tcMar>
              <w:top w:w="7" w:type="dxa"/>
              <w:left w:w="7" w:type="dxa"/>
              <w:bottom w:w="0" w:type="dxa"/>
              <w:right w:w="7" w:type="dxa"/>
            </w:tcMar>
            <w:vAlign w:val="center"/>
          </w:tcPr>
          <w:p>
            <w:pPr>
              <w:tabs>
                <w:tab w:val="left" w:pos="245"/>
              </w:tabs>
              <w:spacing w:after="0"/>
              <w:rPr>
                <w:sz w:val="22"/>
              </w:rPr>
            </w:pPr>
            <w:r>
              <w:t>% kasus ditangani DPJP</w:t>
            </w:r>
          </w:p>
        </w:tc>
        <w:tc>
          <w:tcPr>
            <w:tcW w:w="3284"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Direktur Medik &amp; Keperwatan</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30</w:t>
            </w: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100</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18</w:t>
            </w:r>
          </w:p>
        </w:tc>
        <w:tc>
          <w:tcPr>
            <w:tcW w:w="3923" w:type="dxa"/>
            <w:shd w:val="clear" w:color="auto" w:fill="auto"/>
            <w:tcMar>
              <w:top w:w="7" w:type="dxa"/>
              <w:left w:w="7" w:type="dxa"/>
              <w:bottom w:w="0" w:type="dxa"/>
              <w:right w:w="7" w:type="dxa"/>
            </w:tcMar>
            <w:vAlign w:val="center"/>
          </w:tcPr>
          <w:p>
            <w:pPr>
              <w:tabs>
                <w:tab w:val="left" w:pos="245"/>
              </w:tabs>
              <w:spacing w:after="0"/>
            </w:pPr>
            <w:r>
              <w:t>POBO</w:t>
            </w:r>
          </w:p>
        </w:tc>
        <w:tc>
          <w:tcPr>
            <w:tcW w:w="3284"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Direktur Keuangan RSHS</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81</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82</w:t>
            </w:r>
          </w:p>
        </w:tc>
        <w:tc>
          <w:tcPr>
            <w:tcW w:w="1182" w:type="dxa"/>
            <w:shd w:val="clear" w:color="auto" w:fill="auto"/>
            <w:tcMar>
              <w:top w:w="7" w:type="dxa"/>
              <w:left w:w="7" w:type="dxa"/>
              <w:bottom w:w="0" w:type="dxa"/>
              <w:right w:w="7" w:type="dxa"/>
            </w:tcMar>
            <w:vAlign w:val="center"/>
          </w:tcPr>
          <w:p>
            <w:pPr>
              <w:spacing w:before="60" w:after="0" w:line="240" w:lineRule="auto"/>
              <w:jc w:val="center"/>
              <w:rPr>
                <w:rFonts w:cs="Arial"/>
                <w:sz w:val="20"/>
                <w:szCs w:val="20"/>
              </w:rPr>
            </w:pPr>
            <w:r>
              <w:rPr>
                <w:rFonts w:cs="Arial"/>
                <w:sz w:val="20"/>
                <w:szCs w:val="20"/>
              </w:rPr>
              <w:t>75</w:t>
            </w:r>
          </w:p>
        </w:tc>
        <w:tc>
          <w:tcPr>
            <w:tcW w:w="1182" w:type="dxa"/>
            <w:shd w:val="clear" w:color="auto" w:fill="auto"/>
            <w:tcMar>
              <w:top w:w="7" w:type="dxa"/>
              <w:left w:w="7" w:type="dxa"/>
              <w:bottom w:w="0" w:type="dxa"/>
              <w:right w:w="7" w:type="dxa"/>
            </w:tcMar>
            <w:vAlign w:val="center"/>
          </w:tcPr>
          <w:p>
            <w:pPr>
              <w:spacing w:before="60" w:after="0" w:line="240" w:lineRule="auto"/>
              <w:jc w:val="center"/>
              <w:rPr>
                <w:rFonts w:cs="Arial"/>
                <w:sz w:val="20"/>
                <w:szCs w:val="20"/>
              </w:rPr>
            </w:pPr>
            <w:r>
              <w:rPr>
                <w:rFonts w:cs="Arial"/>
                <w:sz w:val="20"/>
                <w:szCs w:val="20"/>
              </w:rPr>
              <w:t>75</w:t>
            </w:r>
          </w:p>
        </w:tc>
        <w:tc>
          <w:tcPr>
            <w:tcW w:w="1249" w:type="dxa"/>
            <w:shd w:val="clear" w:color="auto" w:fill="auto"/>
            <w:tcMar>
              <w:top w:w="7" w:type="dxa"/>
              <w:left w:w="7" w:type="dxa"/>
              <w:bottom w:w="0" w:type="dxa"/>
              <w:right w:w="7" w:type="dxa"/>
            </w:tcMar>
            <w:vAlign w:val="center"/>
          </w:tcPr>
          <w:p>
            <w:pPr>
              <w:spacing w:before="60" w:after="0" w:line="240" w:lineRule="auto"/>
              <w:jc w:val="center"/>
              <w:rPr>
                <w:rFonts w:cs="Arial"/>
                <w:sz w:val="20"/>
                <w:szCs w:val="20"/>
              </w:rPr>
            </w:pPr>
            <w:r>
              <w:rPr>
                <w:rFonts w:cs="Arial"/>
                <w:sz w:val="20"/>
                <w:szCs w:val="20"/>
              </w:rPr>
              <w:t>77</w:t>
            </w:r>
          </w:p>
        </w:tc>
      </w:tr>
      <w:tr>
        <w:tblPrEx>
          <w:tblBorders>
            <w:top w:val="single" w:color="EBCC6E" w:sz="6" w:space="0"/>
            <w:left w:val="single" w:color="EBCC6E" w:sz="6" w:space="0"/>
            <w:bottom w:val="single" w:color="EBCC6E" w:sz="6" w:space="0"/>
            <w:right w:val="single" w:color="EBCC6E" w:sz="6" w:space="0"/>
            <w:insideH w:val="single" w:color="EBCC6E" w:sz="6" w:space="0"/>
            <w:insideV w:val="single" w:color="EBCC6E" w:sz="6" w:space="0"/>
          </w:tblBorders>
          <w:tblLayout w:type="fixed"/>
          <w:tblCellMar>
            <w:top w:w="0" w:type="dxa"/>
            <w:left w:w="0" w:type="dxa"/>
            <w:bottom w:w="0" w:type="dxa"/>
            <w:right w:w="0" w:type="dxa"/>
          </w:tblCellMar>
        </w:tblPrEx>
        <w:trPr>
          <w:trHeight w:val="170" w:hRule="atLeast"/>
        </w:trPr>
        <w:tc>
          <w:tcPr>
            <w:tcW w:w="4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19</w:t>
            </w:r>
          </w:p>
        </w:tc>
        <w:tc>
          <w:tcPr>
            <w:tcW w:w="3923" w:type="dxa"/>
            <w:shd w:val="clear" w:color="auto" w:fill="auto"/>
            <w:tcMar>
              <w:top w:w="7" w:type="dxa"/>
              <w:left w:w="7" w:type="dxa"/>
              <w:bottom w:w="0" w:type="dxa"/>
              <w:right w:w="7" w:type="dxa"/>
            </w:tcMar>
            <w:vAlign w:val="center"/>
          </w:tcPr>
          <w:p>
            <w:pPr>
              <w:tabs>
                <w:tab w:val="left" w:pos="245"/>
              </w:tabs>
              <w:spacing w:after="0"/>
            </w:pPr>
            <w:r>
              <w:t>Hasil audit keuangan</w:t>
            </w:r>
          </w:p>
        </w:tc>
        <w:tc>
          <w:tcPr>
            <w:tcW w:w="3284"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Direktur Keuangan RSHS</w:t>
            </w:r>
          </w:p>
        </w:tc>
        <w:tc>
          <w:tcPr>
            <w:tcW w:w="1283" w:type="dxa"/>
            <w:shd w:val="clear" w:color="auto" w:fill="auto"/>
            <w:tcMar>
              <w:top w:w="7" w:type="dxa"/>
              <w:left w:w="7" w:type="dxa"/>
              <w:bottom w:w="0" w:type="dxa"/>
              <w:right w:w="7" w:type="dxa"/>
            </w:tcMar>
            <w:vAlign w:val="center"/>
          </w:tcPr>
          <w:p>
            <w:pPr>
              <w:tabs>
                <w:tab w:val="left" w:pos="245"/>
              </w:tabs>
              <w:spacing w:after="0"/>
              <w:jc w:val="center"/>
              <w:rPr>
                <w:sz w:val="22"/>
              </w:rPr>
            </w:pPr>
          </w:p>
        </w:tc>
        <w:tc>
          <w:tcPr>
            <w:tcW w:w="1081"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WTP</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WTP</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WTP</w:t>
            </w:r>
          </w:p>
        </w:tc>
        <w:tc>
          <w:tcPr>
            <w:tcW w:w="1182"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WTP</w:t>
            </w:r>
          </w:p>
        </w:tc>
        <w:tc>
          <w:tcPr>
            <w:tcW w:w="1249" w:type="dxa"/>
            <w:shd w:val="clear" w:color="auto" w:fill="auto"/>
            <w:tcMar>
              <w:top w:w="7" w:type="dxa"/>
              <w:left w:w="7" w:type="dxa"/>
              <w:bottom w:w="0" w:type="dxa"/>
              <w:right w:w="7" w:type="dxa"/>
            </w:tcMar>
            <w:vAlign w:val="center"/>
          </w:tcPr>
          <w:p>
            <w:pPr>
              <w:tabs>
                <w:tab w:val="left" w:pos="245"/>
              </w:tabs>
              <w:spacing w:after="0"/>
              <w:jc w:val="center"/>
              <w:rPr>
                <w:sz w:val="22"/>
              </w:rPr>
            </w:pPr>
            <w:r>
              <w:rPr>
                <w:sz w:val="22"/>
              </w:rPr>
              <w:t>WTP</w:t>
            </w:r>
          </w:p>
        </w:tc>
      </w:tr>
    </w:tbl>
    <w:p>
      <w:pPr>
        <w:jc w:val="center"/>
        <w:rPr>
          <w:b/>
          <w:szCs w:val="24"/>
        </w:rPr>
      </w:pPr>
    </w:p>
    <w:p>
      <w:pPr>
        <w:pStyle w:val="3"/>
        <w:spacing w:before="0" w:after="0" w:line="360" w:lineRule="auto"/>
      </w:pPr>
      <w:bookmarkStart w:id="61" w:name="_Toc398397490"/>
      <w:bookmarkStart w:id="62" w:name="_Toc431267239"/>
      <w:r>
        <w:rPr>
          <w:lang w:val="id-ID"/>
        </w:rPr>
        <w:t>5</w:t>
      </w:r>
      <w:r>
        <w:t>.2 Program Kerja Strategis</w:t>
      </w:r>
      <w:bookmarkEnd w:id="61"/>
      <w:bookmarkEnd w:id="62"/>
    </w:p>
    <w:p>
      <w:pPr>
        <w:pStyle w:val="28"/>
        <w:spacing w:after="0" w:line="360" w:lineRule="auto"/>
        <w:ind w:left="0"/>
        <w:jc w:val="both"/>
        <w:sectPr>
          <w:type w:val="continuous"/>
          <w:pgSz w:w="16839" w:h="11907" w:orient="landscape"/>
          <w:pgMar w:top="1440" w:right="1440" w:bottom="1440" w:left="1440" w:header="720" w:footer="720" w:gutter="0"/>
          <w:cols w:space="720" w:num="1"/>
          <w:docGrid w:linePitch="360" w:charSpace="0"/>
        </w:sectPr>
      </w:pPr>
    </w:p>
    <w:p>
      <w:pPr>
        <w:pStyle w:val="28"/>
        <w:spacing w:line="360" w:lineRule="auto"/>
        <w:ind w:left="0" w:firstLine="709"/>
        <w:contextualSpacing w:val="0"/>
        <w:jc w:val="both"/>
      </w:pPr>
      <w:r>
        <w:t>Untuk mewujudkan target KPI yang telah ditentukan di atas, ada serangkaian program kerja strategis yang perlu dilakukan oleh RSHS</w:t>
      </w:r>
      <w:r>
        <w:rPr>
          <w:color w:val="FF0000"/>
        </w:rPr>
        <w:t xml:space="preserve"> </w:t>
      </w:r>
      <w:r>
        <w:t>pada periode tahun 2015-2019. Penentuan program kerja strategis RSHS</w:t>
      </w:r>
      <w:r>
        <w:rPr>
          <w:color w:val="FF0000"/>
        </w:rPr>
        <w:t xml:space="preserve"> </w:t>
      </w:r>
      <w:r>
        <w:t>untuk mewujudkan sasaran strategis dan target KPI nya diarahkan pada tiga tipe berikut ini:</w:t>
      </w:r>
    </w:p>
    <w:p>
      <w:pPr>
        <w:pStyle w:val="28"/>
        <w:spacing w:line="360" w:lineRule="auto"/>
        <w:ind w:left="0"/>
        <w:contextualSpacing w:val="0"/>
        <w:jc w:val="both"/>
      </w:pPr>
    </w:p>
    <w:p>
      <w:pPr>
        <w:pStyle w:val="28"/>
        <w:numPr>
          <w:ilvl w:val="0"/>
          <w:numId w:val="29"/>
        </w:numPr>
        <w:spacing w:after="0" w:line="360" w:lineRule="auto"/>
        <w:ind w:left="360" w:hanging="360"/>
        <w:jc w:val="both"/>
      </w:pPr>
      <w:r>
        <w:rPr>
          <w:b/>
        </w:rPr>
        <w:t>Program kerja strategis yang bersifat pemantapan</w:t>
      </w:r>
      <w:r>
        <w:t xml:space="preserve"> :</w:t>
      </w:r>
    </w:p>
    <w:p>
      <w:pPr>
        <w:pStyle w:val="28"/>
        <w:spacing w:line="360" w:lineRule="auto"/>
        <w:ind w:left="0" w:firstLine="709"/>
        <w:contextualSpacing w:val="0"/>
        <w:jc w:val="both"/>
      </w:pPr>
      <w:r>
        <w:t>Tujuan dari diusulkannya program kerja strategis ini adalah untuk membantu memastikan bahwa pelaksanaan suatu mekanisme atau sistem manajemen tertentu yang dilakukan selama ini dinilai sudah berjalan efektif untuk terus dilanjutkan di masa-masa mendatang dalam membantu mewujudkan suatu sasaran strategis RSHS</w:t>
      </w:r>
      <w:r>
        <w:rPr>
          <w:color w:val="FF0000"/>
        </w:rPr>
        <w:t xml:space="preserve"> </w:t>
      </w:r>
      <w:r>
        <w:t>pada periode tahun 2015-2019.</w:t>
      </w:r>
    </w:p>
    <w:p>
      <w:pPr>
        <w:pStyle w:val="28"/>
        <w:numPr>
          <w:ilvl w:val="0"/>
          <w:numId w:val="29"/>
        </w:numPr>
        <w:spacing w:after="0" w:line="360" w:lineRule="auto"/>
        <w:ind w:left="360" w:hanging="360"/>
        <w:jc w:val="both"/>
      </w:pPr>
      <w:r>
        <w:rPr>
          <w:b/>
        </w:rPr>
        <w:t>Program kerja strategis yang bersifat perbaikan</w:t>
      </w:r>
      <w:r>
        <w:t xml:space="preserve"> :</w:t>
      </w:r>
    </w:p>
    <w:p>
      <w:pPr>
        <w:pStyle w:val="28"/>
        <w:spacing w:line="360" w:lineRule="auto"/>
        <w:ind w:left="0" w:firstLine="709"/>
        <w:contextualSpacing w:val="0"/>
        <w:jc w:val="both"/>
      </w:pPr>
      <w:r>
        <w:t>Tujuan dari direkomendasikannya program kerja strategis ini adalah untuk membantu menyempurnakan atau menata ulang pelaksanaan suatu mekanisme atau sistem manajemen tertentu yang dilakukan selama ini dinilai belum berjalan cukup efektif dalam membantu mewujudkan suatu sasaran strategis RSHS</w:t>
      </w:r>
      <w:r>
        <w:rPr>
          <w:color w:val="FF0000"/>
        </w:rPr>
        <w:t>.</w:t>
      </w:r>
    </w:p>
    <w:p>
      <w:pPr>
        <w:pStyle w:val="28"/>
        <w:numPr>
          <w:ilvl w:val="0"/>
          <w:numId w:val="29"/>
        </w:numPr>
        <w:spacing w:after="0" w:line="360" w:lineRule="auto"/>
        <w:ind w:left="360" w:hanging="360"/>
        <w:jc w:val="both"/>
      </w:pPr>
      <w:r>
        <w:rPr>
          <w:b/>
        </w:rPr>
        <w:t>Program kerja strategis yang bersifat pengembangan</w:t>
      </w:r>
      <w:r>
        <w:t xml:space="preserve"> :</w:t>
      </w:r>
    </w:p>
    <w:p>
      <w:pPr>
        <w:pStyle w:val="28"/>
        <w:spacing w:line="360" w:lineRule="auto"/>
        <w:ind w:left="0" w:firstLine="709"/>
        <w:contextualSpacing w:val="0"/>
        <w:jc w:val="both"/>
      </w:pPr>
      <w:r>
        <w:t>Tujuan dari direkomendasikannya program kerja strategis ini adalah untuk mengembangkan inisiatif baru pelaksanaan suatu mekanisme atau sebuah sistem manajemen tertentu dalam membantu mewujudkan suatu sasaran strategis RSHS</w:t>
      </w:r>
      <w:r>
        <w:rPr>
          <w:color w:val="FF0000"/>
        </w:rPr>
        <w:t>.</w:t>
      </w:r>
    </w:p>
    <w:p>
      <w:pPr>
        <w:spacing w:line="360" w:lineRule="auto"/>
        <w:ind w:firstLine="709"/>
        <w:jc w:val="both"/>
      </w:pPr>
      <w:r>
        <w:t>Berikut ini</w:t>
      </w:r>
      <w:r>
        <w:rPr>
          <w:lang w:val="id-ID"/>
        </w:rPr>
        <w:t xml:space="preserve"> pada tabel 5.3</w:t>
      </w:r>
      <w:r>
        <w:t xml:space="preserve"> disajikan berbagai program kerja strategis untuk masing-masing perspektif peta strategi yang perlu RSHS</w:t>
      </w:r>
      <w:r>
        <w:rPr>
          <w:color w:val="FF0000"/>
        </w:rPr>
        <w:t xml:space="preserve"> </w:t>
      </w:r>
      <w:r>
        <w:t>untuk periode tahun 2015-2019.</w:t>
      </w:r>
    </w:p>
    <w:p>
      <w:pPr>
        <w:spacing w:line="360" w:lineRule="auto"/>
        <w:jc w:val="both"/>
        <w:rPr>
          <w:szCs w:val="24"/>
        </w:rPr>
        <w:sectPr>
          <w:type w:val="continuous"/>
          <w:pgSz w:w="16839" w:h="11907" w:orient="landscape"/>
          <w:pgMar w:top="1440" w:right="1440" w:bottom="1440" w:left="1440" w:header="720" w:footer="720" w:gutter="0"/>
          <w:cols w:space="720" w:num="1"/>
          <w:docGrid w:linePitch="360" w:charSpace="0"/>
        </w:sectPr>
      </w:pPr>
    </w:p>
    <w:p>
      <w:pPr>
        <w:spacing w:after="0" w:line="240" w:lineRule="auto"/>
        <w:rPr>
          <w:b/>
          <w:bCs/>
          <w:szCs w:val="18"/>
        </w:rPr>
      </w:pPr>
      <w:r>
        <w:br w:type="page"/>
      </w:r>
    </w:p>
    <w:p>
      <w:pPr>
        <w:pStyle w:val="9"/>
        <w:rPr>
          <w:szCs w:val="24"/>
        </w:rPr>
      </w:pPr>
      <w:bookmarkStart w:id="63" w:name="_Toc430523174"/>
      <w:r>
        <w:t xml:space="preserve">Tabel 5. </w:t>
      </w:r>
      <w:r>
        <w:fldChar w:fldCharType="begin"/>
      </w:r>
      <w:r>
        <w:instrText xml:space="preserve"> SEQ Tabel_5. \* ARABIC </w:instrText>
      </w:r>
      <w:r>
        <w:fldChar w:fldCharType="separate"/>
      </w:r>
      <w:r>
        <w:t>3</w:t>
      </w:r>
      <w:r>
        <w:fldChar w:fldCharType="end"/>
      </w:r>
      <w:r>
        <w:rPr>
          <w:szCs w:val="24"/>
        </w:rPr>
        <w:t>. Program Kerja Strategis</w:t>
      </w:r>
      <w:bookmarkEnd w:id="63"/>
    </w:p>
    <w:tbl>
      <w:tblPr>
        <w:tblStyle w:val="26"/>
        <w:tblW w:w="14743" w:type="dxa"/>
        <w:tblInd w:w="-34"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479"/>
        <w:gridCol w:w="1790"/>
        <w:gridCol w:w="2551"/>
        <w:gridCol w:w="2552"/>
        <w:gridCol w:w="2409"/>
        <w:gridCol w:w="2410"/>
        <w:gridCol w:w="2552"/>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38" w:hRule="atLeast"/>
          <w:tblHeader/>
        </w:trPr>
        <w:tc>
          <w:tcPr>
            <w:tcW w:w="479" w:type="dxa"/>
            <w:shd w:val="clear" w:color="auto" w:fill="EBCC6E"/>
          </w:tcPr>
          <w:p>
            <w:pPr>
              <w:spacing w:after="0" w:line="240" w:lineRule="auto"/>
              <w:jc w:val="center"/>
              <w:rPr>
                <w:b/>
                <w:color w:val="000000"/>
                <w:sz w:val="20"/>
                <w:szCs w:val="20"/>
              </w:rPr>
            </w:pPr>
            <w:r>
              <w:rPr>
                <w:b/>
                <w:color w:val="000000"/>
                <w:sz w:val="20"/>
                <w:szCs w:val="20"/>
              </w:rPr>
              <w:t>No</w:t>
            </w:r>
          </w:p>
        </w:tc>
        <w:tc>
          <w:tcPr>
            <w:tcW w:w="1790" w:type="dxa"/>
            <w:shd w:val="clear" w:color="auto" w:fill="EBCC6E"/>
          </w:tcPr>
          <w:p>
            <w:pPr>
              <w:spacing w:after="0" w:line="240" w:lineRule="auto"/>
              <w:jc w:val="center"/>
              <w:rPr>
                <w:b/>
                <w:color w:val="000000"/>
                <w:sz w:val="20"/>
                <w:szCs w:val="20"/>
              </w:rPr>
            </w:pPr>
            <w:r>
              <w:rPr>
                <w:b/>
                <w:color w:val="000000"/>
                <w:sz w:val="20"/>
                <w:szCs w:val="20"/>
              </w:rPr>
              <w:t>KPI</w:t>
            </w:r>
          </w:p>
        </w:tc>
        <w:tc>
          <w:tcPr>
            <w:tcW w:w="2551" w:type="dxa"/>
            <w:shd w:val="clear" w:color="auto" w:fill="EBCC6E"/>
          </w:tcPr>
          <w:p>
            <w:pPr>
              <w:spacing w:after="0" w:line="240" w:lineRule="auto"/>
              <w:ind w:right="42"/>
              <w:jc w:val="center"/>
              <w:rPr>
                <w:b/>
                <w:color w:val="000000"/>
                <w:sz w:val="20"/>
                <w:szCs w:val="20"/>
              </w:rPr>
            </w:pPr>
            <w:r>
              <w:rPr>
                <w:b/>
                <w:color w:val="000000"/>
                <w:sz w:val="20"/>
                <w:szCs w:val="20"/>
              </w:rPr>
              <w:t>2015</w:t>
            </w:r>
          </w:p>
        </w:tc>
        <w:tc>
          <w:tcPr>
            <w:tcW w:w="2552" w:type="dxa"/>
            <w:shd w:val="clear" w:color="auto" w:fill="EBCC6E"/>
          </w:tcPr>
          <w:p>
            <w:pPr>
              <w:spacing w:after="0" w:line="240" w:lineRule="auto"/>
              <w:ind w:right="51"/>
              <w:jc w:val="center"/>
              <w:rPr>
                <w:b/>
                <w:color w:val="000000"/>
                <w:sz w:val="20"/>
                <w:szCs w:val="20"/>
              </w:rPr>
            </w:pPr>
            <w:r>
              <w:rPr>
                <w:b/>
                <w:color w:val="000000"/>
                <w:sz w:val="20"/>
                <w:szCs w:val="20"/>
              </w:rPr>
              <w:t>2016</w:t>
            </w:r>
          </w:p>
        </w:tc>
        <w:tc>
          <w:tcPr>
            <w:tcW w:w="2409" w:type="dxa"/>
            <w:shd w:val="clear" w:color="auto" w:fill="EBCC6E"/>
          </w:tcPr>
          <w:p>
            <w:pPr>
              <w:spacing w:after="0" w:line="240" w:lineRule="auto"/>
              <w:ind w:right="-54"/>
              <w:jc w:val="center"/>
              <w:rPr>
                <w:b/>
                <w:color w:val="000000"/>
                <w:sz w:val="20"/>
                <w:szCs w:val="20"/>
              </w:rPr>
            </w:pPr>
            <w:r>
              <w:rPr>
                <w:b/>
                <w:color w:val="000000"/>
                <w:sz w:val="20"/>
                <w:szCs w:val="20"/>
              </w:rPr>
              <w:t>2017</w:t>
            </w:r>
          </w:p>
        </w:tc>
        <w:tc>
          <w:tcPr>
            <w:tcW w:w="2410" w:type="dxa"/>
            <w:shd w:val="clear" w:color="auto" w:fill="EBCC6E"/>
          </w:tcPr>
          <w:p>
            <w:pPr>
              <w:spacing w:after="0" w:line="240" w:lineRule="auto"/>
              <w:jc w:val="center"/>
              <w:rPr>
                <w:b/>
                <w:color w:val="000000"/>
                <w:sz w:val="20"/>
                <w:szCs w:val="20"/>
              </w:rPr>
            </w:pPr>
            <w:r>
              <w:rPr>
                <w:b/>
                <w:color w:val="000000"/>
                <w:sz w:val="20"/>
                <w:szCs w:val="20"/>
              </w:rPr>
              <w:t>2018</w:t>
            </w:r>
          </w:p>
        </w:tc>
        <w:tc>
          <w:tcPr>
            <w:tcW w:w="2552" w:type="dxa"/>
            <w:shd w:val="clear" w:color="auto" w:fill="EBCC6E"/>
          </w:tcPr>
          <w:p>
            <w:pPr>
              <w:spacing w:after="0" w:line="240" w:lineRule="auto"/>
              <w:jc w:val="center"/>
              <w:rPr>
                <w:b/>
                <w:color w:val="000000"/>
                <w:sz w:val="20"/>
                <w:szCs w:val="20"/>
              </w:rPr>
            </w:pPr>
            <w:r>
              <w:rPr>
                <w:b/>
                <w:color w:val="000000"/>
                <w:sz w:val="20"/>
                <w:szCs w:val="20"/>
              </w:rPr>
              <w:t>2019</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5645" w:hRule="atLeast"/>
        </w:trPr>
        <w:tc>
          <w:tcPr>
            <w:tcW w:w="479" w:type="dxa"/>
            <w:shd w:val="clear" w:color="auto" w:fill="auto"/>
          </w:tcPr>
          <w:p>
            <w:pPr>
              <w:spacing w:after="0" w:line="240" w:lineRule="auto"/>
              <w:rPr>
                <w:color w:val="000000"/>
                <w:sz w:val="20"/>
                <w:szCs w:val="20"/>
                <w:lang w:val="id-ID"/>
              </w:rPr>
            </w:pPr>
            <w:r>
              <w:rPr>
                <w:color w:val="000000"/>
                <w:sz w:val="20"/>
                <w:szCs w:val="20"/>
                <w:lang w:val="id-ID"/>
              </w:rPr>
              <w:t>1</w:t>
            </w:r>
          </w:p>
        </w:tc>
        <w:tc>
          <w:tcPr>
            <w:tcW w:w="1790" w:type="dxa"/>
            <w:shd w:val="clear" w:color="auto" w:fill="auto"/>
          </w:tcPr>
          <w:p>
            <w:pPr>
              <w:spacing w:after="0" w:line="240" w:lineRule="auto"/>
              <w:rPr>
                <w:color w:val="000000"/>
                <w:sz w:val="20"/>
                <w:szCs w:val="20"/>
                <w:lang w:val="id-ID"/>
              </w:rPr>
            </w:pPr>
            <w:r>
              <w:rPr>
                <w:color w:val="000000"/>
                <w:sz w:val="20"/>
                <w:szCs w:val="20"/>
                <w:lang w:val="id-ID"/>
              </w:rPr>
              <w:t>AKI</w:t>
            </w:r>
          </w:p>
        </w:tc>
        <w:tc>
          <w:tcPr>
            <w:tcW w:w="2551" w:type="dxa"/>
            <w:shd w:val="clear" w:color="auto" w:fill="auto"/>
          </w:tcPr>
          <w:p>
            <w:pPr>
              <w:spacing w:after="0" w:line="240" w:lineRule="auto"/>
              <w:ind w:right="42"/>
              <w:rPr>
                <w:color w:val="000000"/>
                <w:sz w:val="20"/>
                <w:szCs w:val="20"/>
              </w:rPr>
            </w:pPr>
            <w:r>
              <w:rPr>
                <w:color w:val="000000"/>
                <w:sz w:val="20"/>
                <w:szCs w:val="20"/>
                <w:lang w:val="id-ID"/>
              </w:rPr>
              <w:t>Pemetaan</w:t>
            </w:r>
            <w:r>
              <w:rPr>
                <w:color w:val="000000"/>
                <w:sz w:val="20"/>
                <w:szCs w:val="20"/>
              </w:rPr>
              <w:t xml:space="preserve"> upaya preventif maternal golongan risiko tinggi dengan optimalisasi PKBRS</w:t>
            </w:r>
          </w:p>
        </w:tc>
        <w:tc>
          <w:tcPr>
            <w:tcW w:w="2552" w:type="dxa"/>
            <w:shd w:val="clear" w:color="auto" w:fill="auto"/>
            <w:vAlign w:val="center"/>
          </w:tcPr>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Audit Maternal Perinatal terpadu di 7 RS Jejaring</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Pertemuan koordinasi dengan RS-RS dan Dinas Kesehatan ( per triwulan)</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Pembuatan RCA dan FMEA bersama DinKes JaBar untuk menurunkan AKI</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 xml:space="preserve">In-house training PONEK </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 xml:space="preserve">Pertemuan Ilmiah peningkatan pengetahuan bidan dan dokter umum terkait penanganan pertama kasus obstetri risiko tinggi </w:t>
            </w:r>
          </w:p>
          <w:p>
            <w:pPr>
              <w:spacing w:before="120" w:after="0" w:line="240" w:lineRule="auto"/>
              <w:textAlignment w:val="bottom"/>
              <w:rPr>
                <w:rFonts w:cs="Arial" w:asciiTheme="minorHAnsi" w:hAnsiTheme="minorHAnsi"/>
                <w:kern w:val="24"/>
                <w:sz w:val="20"/>
                <w:szCs w:val="20"/>
              </w:rPr>
            </w:pPr>
            <w:r>
              <w:rPr>
                <w:rFonts w:cs="Arial" w:asciiTheme="minorHAnsi" w:hAnsiTheme="minorHAnsi"/>
                <w:kern w:val="24"/>
                <w:sz w:val="20"/>
                <w:szCs w:val="20"/>
              </w:rPr>
              <w:t>Penelitian baru terkait patologi kehamilan dan persalinan di masyarakat</w:t>
            </w:r>
          </w:p>
          <w:p>
            <w:pPr>
              <w:spacing w:before="120" w:after="0" w:line="240" w:lineRule="auto"/>
              <w:textAlignment w:val="bottom"/>
              <w:rPr>
                <w:rFonts w:cs="Arial" w:asciiTheme="minorHAnsi" w:hAnsiTheme="minorHAnsi"/>
                <w:kern w:val="24"/>
                <w:sz w:val="20"/>
                <w:szCs w:val="20"/>
              </w:rPr>
            </w:pPr>
          </w:p>
          <w:p>
            <w:pPr>
              <w:spacing w:before="120" w:after="0" w:line="240" w:lineRule="auto"/>
              <w:textAlignment w:val="bottom"/>
              <w:rPr>
                <w:rFonts w:cs="Arial" w:asciiTheme="minorHAnsi" w:hAnsiTheme="minorHAnsi"/>
                <w:sz w:val="20"/>
                <w:szCs w:val="20"/>
              </w:rPr>
            </w:pPr>
          </w:p>
        </w:tc>
        <w:tc>
          <w:tcPr>
            <w:tcW w:w="2409" w:type="dxa"/>
            <w:shd w:val="clear" w:color="auto" w:fill="auto"/>
            <w:vAlign w:val="center"/>
          </w:tcPr>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Audit Maternal Perinatal terpadu di 7 RS Jejaring</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Pertemuan koordinasi dengan RS-RS dan Dinas Kesehatan ( per triwulan)</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Monev penggunaan MPRI pada RS Jejaring</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Sertifikasi PONEK untuk RSHS</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 xml:space="preserve">Pertemuan Ilmiah peningkatan pengetahuan bidan dan dokter umum terkait penanganan pertama kasus obstetri risiko tinggi </w:t>
            </w:r>
          </w:p>
          <w:p>
            <w:pPr>
              <w:spacing w:before="120" w:after="0" w:line="240" w:lineRule="auto"/>
              <w:textAlignment w:val="bottom"/>
              <w:rPr>
                <w:rFonts w:cs="Arial" w:asciiTheme="minorHAnsi" w:hAnsiTheme="minorHAnsi"/>
                <w:kern w:val="24"/>
                <w:sz w:val="20"/>
                <w:szCs w:val="20"/>
              </w:rPr>
            </w:pPr>
            <w:r>
              <w:rPr>
                <w:rFonts w:cs="Arial" w:asciiTheme="minorHAnsi" w:hAnsiTheme="minorHAnsi"/>
                <w:kern w:val="24"/>
                <w:sz w:val="20"/>
                <w:szCs w:val="20"/>
              </w:rPr>
              <w:t>Penelitian baru terkait patologi kehamilan dan persalinan di masyarakat</w:t>
            </w:r>
          </w:p>
          <w:p>
            <w:pPr>
              <w:spacing w:before="120" w:after="0" w:line="240" w:lineRule="auto"/>
              <w:textAlignment w:val="bottom"/>
              <w:rPr>
                <w:rFonts w:cs="Arial" w:asciiTheme="minorHAnsi" w:hAnsiTheme="minorHAnsi"/>
                <w:sz w:val="20"/>
                <w:szCs w:val="20"/>
              </w:rPr>
            </w:pPr>
          </w:p>
        </w:tc>
        <w:tc>
          <w:tcPr>
            <w:tcW w:w="2410" w:type="dxa"/>
            <w:shd w:val="clear" w:color="auto" w:fill="auto"/>
            <w:vAlign w:val="center"/>
          </w:tcPr>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Audit Maternal Perinatal terpadu di 7 RS Jejaring</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Pertemuan koordinasi dengan RS-RS dan Dinas Kesehatan ( per triwulan)</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Sertifikasi PONEK untuk RSHS</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 xml:space="preserve">Pertemuan Ilmiah peningkatan pengetahuan bidan dan dokter umum terkait penanganan pertama kasus obstetri risiko tinggi </w:t>
            </w:r>
          </w:p>
          <w:p>
            <w:pPr>
              <w:spacing w:before="120" w:after="0" w:line="240" w:lineRule="auto"/>
              <w:textAlignment w:val="bottom"/>
              <w:rPr>
                <w:rFonts w:cs="Arial" w:asciiTheme="minorHAnsi" w:hAnsiTheme="minorHAnsi"/>
                <w:kern w:val="24"/>
                <w:sz w:val="20"/>
                <w:szCs w:val="20"/>
              </w:rPr>
            </w:pPr>
            <w:r>
              <w:rPr>
                <w:rFonts w:cs="Arial" w:asciiTheme="minorHAnsi" w:hAnsiTheme="minorHAnsi"/>
                <w:kern w:val="24"/>
                <w:sz w:val="20"/>
                <w:szCs w:val="20"/>
              </w:rPr>
              <w:t>Penelitian baru terkait patologi kehamilan dan persalinan di masyarakat</w:t>
            </w:r>
          </w:p>
          <w:p>
            <w:pPr>
              <w:spacing w:before="120" w:after="0" w:line="240" w:lineRule="auto"/>
              <w:textAlignment w:val="bottom"/>
              <w:rPr>
                <w:rFonts w:cs="Arial" w:asciiTheme="minorHAnsi" w:hAnsiTheme="minorHAnsi"/>
                <w:kern w:val="24"/>
                <w:sz w:val="20"/>
                <w:szCs w:val="20"/>
              </w:rPr>
            </w:pPr>
          </w:p>
          <w:p>
            <w:pPr>
              <w:spacing w:before="120" w:after="0" w:line="240" w:lineRule="auto"/>
              <w:textAlignment w:val="bottom"/>
              <w:rPr>
                <w:rFonts w:cs="Arial" w:asciiTheme="minorHAnsi" w:hAnsiTheme="minorHAnsi"/>
                <w:sz w:val="20"/>
                <w:szCs w:val="20"/>
              </w:rPr>
            </w:pPr>
          </w:p>
        </w:tc>
        <w:tc>
          <w:tcPr>
            <w:tcW w:w="2552" w:type="dxa"/>
            <w:shd w:val="clear" w:color="auto" w:fill="auto"/>
            <w:vAlign w:val="center"/>
          </w:tcPr>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Audit Maternal Perinatal terpadu di 7 RS Jejaring</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Pertemuan koordinasi dengan RS-RS dan Dinas Kesehatan (per triwulan)</w:t>
            </w:r>
          </w:p>
          <w:p>
            <w:pPr>
              <w:spacing w:before="120" w:after="0" w:line="240" w:lineRule="auto"/>
              <w:textAlignment w:val="center"/>
              <w:rPr>
                <w:rFonts w:cs="Arial" w:asciiTheme="minorHAnsi" w:hAnsiTheme="minorHAnsi"/>
                <w:sz w:val="20"/>
                <w:szCs w:val="20"/>
              </w:rPr>
            </w:pPr>
            <w:r>
              <w:rPr>
                <w:rFonts w:cs="Arial" w:asciiTheme="minorHAnsi" w:hAnsiTheme="minorHAnsi"/>
                <w:kern w:val="24"/>
                <w:sz w:val="20"/>
                <w:szCs w:val="20"/>
              </w:rPr>
              <w:t>Pengembangan 7 RS Regional JABAR sebagai pusat penelitian Kesehatan Ibu dan anak di Jawa Barat</w:t>
            </w:r>
          </w:p>
          <w:p>
            <w:pPr>
              <w:spacing w:before="120" w:after="0" w:line="240" w:lineRule="auto"/>
              <w:textAlignment w:val="bottom"/>
              <w:rPr>
                <w:rFonts w:cs="Arial" w:asciiTheme="minorHAnsi" w:hAnsiTheme="minorHAnsi"/>
                <w:sz w:val="20"/>
                <w:szCs w:val="20"/>
              </w:rPr>
            </w:pPr>
            <w:r>
              <w:rPr>
                <w:rFonts w:cs="Arial" w:asciiTheme="minorHAnsi" w:hAnsiTheme="minorHAnsi"/>
                <w:kern w:val="24"/>
                <w:sz w:val="20"/>
                <w:szCs w:val="20"/>
              </w:rPr>
              <w:t xml:space="preserve">Pertemuan Ilmiah peningkatan pengetahuan bidan dan dokter umum terkait penanganan pertama kasus obstetri risiko tinggi </w:t>
            </w:r>
          </w:p>
          <w:p>
            <w:pPr>
              <w:spacing w:before="120" w:after="0" w:line="240" w:lineRule="auto"/>
              <w:textAlignment w:val="bottom"/>
              <w:rPr>
                <w:rFonts w:cs="Arial" w:asciiTheme="minorHAnsi" w:hAnsiTheme="minorHAnsi"/>
                <w:kern w:val="24"/>
                <w:sz w:val="20"/>
                <w:szCs w:val="20"/>
              </w:rPr>
            </w:pPr>
            <w:r>
              <w:rPr>
                <w:rFonts w:cs="Arial" w:asciiTheme="minorHAnsi" w:hAnsiTheme="minorHAnsi"/>
                <w:kern w:val="24"/>
                <w:sz w:val="20"/>
                <w:szCs w:val="20"/>
              </w:rPr>
              <w:t>Penelitian baru terkait patologi kehamilan dan persalinan di masyarakat</w:t>
            </w:r>
          </w:p>
          <w:p>
            <w:pPr>
              <w:spacing w:before="120" w:after="0" w:line="240" w:lineRule="auto"/>
              <w:textAlignment w:val="bottom"/>
              <w:rPr>
                <w:rFonts w:cs="Arial" w:asciiTheme="minorHAnsi" w:hAnsiTheme="minorHAnsi"/>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600" w:hRule="atLeast"/>
        </w:trPr>
        <w:tc>
          <w:tcPr>
            <w:tcW w:w="479" w:type="dxa"/>
            <w:shd w:val="clear" w:color="auto" w:fill="auto"/>
          </w:tcPr>
          <w:p>
            <w:pPr>
              <w:spacing w:after="0" w:line="240" w:lineRule="auto"/>
              <w:rPr>
                <w:color w:val="000000"/>
                <w:sz w:val="20"/>
                <w:szCs w:val="20"/>
                <w:lang w:val="id-ID"/>
              </w:rPr>
            </w:pPr>
            <w:r>
              <w:rPr>
                <w:color w:val="000000"/>
                <w:sz w:val="20"/>
                <w:szCs w:val="20"/>
                <w:lang w:val="id-ID"/>
              </w:rPr>
              <w:t>2</w:t>
            </w:r>
          </w:p>
        </w:tc>
        <w:tc>
          <w:tcPr>
            <w:tcW w:w="1790" w:type="dxa"/>
            <w:shd w:val="clear" w:color="auto" w:fill="auto"/>
          </w:tcPr>
          <w:p>
            <w:pPr>
              <w:spacing w:after="0" w:line="240" w:lineRule="auto"/>
              <w:rPr>
                <w:color w:val="000000"/>
                <w:sz w:val="20"/>
                <w:szCs w:val="20"/>
                <w:lang w:val="id-ID"/>
              </w:rPr>
            </w:pPr>
            <w:r>
              <w:rPr>
                <w:color w:val="000000"/>
                <w:sz w:val="20"/>
                <w:szCs w:val="20"/>
                <w:lang w:val="id-ID"/>
              </w:rPr>
              <w:t>AKB</w:t>
            </w:r>
          </w:p>
        </w:tc>
        <w:tc>
          <w:tcPr>
            <w:tcW w:w="2551" w:type="dxa"/>
            <w:shd w:val="clear" w:color="auto" w:fill="auto"/>
          </w:tcPr>
          <w:p>
            <w:pPr>
              <w:spacing w:after="0" w:line="240" w:lineRule="auto"/>
              <w:ind w:right="42"/>
              <w:rPr>
                <w:color w:val="000000"/>
                <w:sz w:val="20"/>
                <w:szCs w:val="20"/>
              </w:rPr>
            </w:pPr>
            <w:r>
              <w:rPr>
                <w:color w:val="000000"/>
                <w:sz w:val="20"/>
                <w:szCs w:val="20"/>
                <w:lang w:val="id-ID"/>
              </w:rPr>
              <w:t>Pemetaan</w:t>
            </w:r>
            <w:r>
              <w:rPr>
                <w:color w:val="000000"/>
                <w:sz w:val="20"/>
                <w:szCs w:val="20"/>
              </w:rPr>
              <w:t xml:space="preserve"> PONEK RSHS sebagai role model</w:t>
            </w:r>
          </w:p>
        </w:tc>
        <w:tc>
          <w:tcPr>
            <w:tcW w:w="2552" w:type="dxa"/>
            <w:shd w:val="clear" w:color="auto" w:fill="auto"/>
          </w:tcPr>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Peningkatan kompetensi dan kemampuan staf/ konsulen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t-IT"/>
              </w:rPr>
              <w:t>Penambahan staf baru divisi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ppds-1</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pspd</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perawat NICU / Level 2-3</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w:t>
            </w:r>
            <w:r>
              <w:rPr>
                <w:rFonts w:cs="Arial" w:asciiTheme="minorHAnsi" w:hAnsiTheme="minorHAnsi"/>
                <w:kern w:val="24"/>
                <w:sz w:val="20"/>
                <w:szCs w:val="20"/>
              </w:rPr>
              <w:t>elatihan Perawat ruang bayi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PONEK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Penambahan staf elektromedik neonatolog</w:t>
            </w:r>
          </w:p>
        </w:tc>
        <w:tc>
          <w:tcPr>
            <w:tcW w:w="2409" w:type="dxa"/>
            <w:shd w:val="clear" w:color="auto" w:fill="auto"/>
          </w:tcPr>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Peningkatan kompetensi dan kemampuan staf/ konsulen neonatologi</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 xml:space="preserve">Penambahan jumlah ruang rawat NICU  yang lengkap </w:t>
            </w:r>
            <w:r>
              <w:rPr>
                <w:rFonts w:cs="Arial" w:asciiTheme="minorHAnsi" w:hAnsiTheme="minorHAnsi"/>
                <w:kern w:val="24"/>
                <w:sz w:val="20"/>
                <w:szCs w:val="20"/>
                <w:lang w:val="id-ID"/>
              </w:rPr>
              <w:sym w:font="Wingdings" w:char="F0E0"/>
            </w:r>
            <w:r>
              <w:rPr>
                <w:rFonts w:cs="Arial" w:asciiTheme="minorHAnsi" w:hAnsiTheme="minorHAnsi"/>
                <w:kern w:val="24"/>
                <w:sz w:val="20"/>
                <w:szCs w:val="20"/>
                <w:lang w:val="id-ID"/>
              </w:rPr>
              <w:t xml:space="preserve"> saat ini 5, menjadi 14</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terdiri dari:</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a. Ruang rawat NICU non infeksi : 10 bed, lengkap dengan ventilator, monitor, dan fasilitas lain.</w:t>
            </w:r>
          </w:p>
          <w:p>
            <w:pPr>
              <w:tabs>
                <w:tab w:val="left" w:pos="0"/>
              </w:tabs>
              <w:spacing w:before="60" w:after="0" w:line="254" w:lineRule="auto"/>
              <w:rPr>
                <w:rFonts w:cs="Arial" w:asciiTheme="minorHAnsi" w:hAnsiTheme="minorHAnsi"/>
                <w:sz w:val="20"/>
                <w:szCs w:val="20"/>
              </w:rPr>
            </w:pPr>
            <w:r>
              <w:rPr>
                <w:rFonts w:cs="Arial" w:asciiTheme="minorHAnsi" w:hAnsiTheme="minorHAnsi"/>
                <w:kern w:val="24"/>
                <w:sz w:val="20"/>
                <w:szCs w:val="20"/>
                <w:lang w:val="id-ID"/>
              </w:rPr>
              <w:t xml:space="preserve">b. Ruang rawat NICU infeksius </w:t>
            </w:r>
            <w:r>
              <w:rPr>
                <w:rFonts w:cs="Arial" w:asciiTheme="minorHAnsi" w:hAnsiTheme="minorHAnsi"/>
                <w:kern w:val="24"/>
                <w:sz w:val="20"/>
                <w:szCs w:val="20"/>
                <w:lang w:val="id-ID"/>
              </w:rPr>
              <w:sym w:font="Wingdings" w:char="F0E0"/>
            </w:r>
            <w:r>
              <w:rPr>
                <w:rFonts w:cs="Arial" w:asciiTheme="minorHAnsi" w:hAnsiTheme="minorHAnsi"/>
                <w:kern w:val="24"/>
                <w:sz w:val="20"/>
                <w:szCs w:val="20"/>
                <w:lang w:val="id-ID"/>
              </w:rPr>
              <w:t xml:space="preserve"> kubikal : 4 buah dengan fasilitas lengkap</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 xml:space="preserve">2. Terpenuhinya kelengkapan fasilitas dan alat-alat neonatologi </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t-IT"/>
              </w:rPr>
              <w:t xml:space="preserve">Penambahan staf </w:t>
            </w:r>
            <w:r>
              <w:rPr>
                <w:rFonts w:cs="Arial" w:asciiTheme="minorHAnsi" w:hAnsiTheme="minorHAnsi"/>
                <w:kern w:val="24"/>
                <w:sz w:val="20"/>
                <w:szCs w:val="20"/>
                <w:lang w:val="id-ID"/>
              </w:rPr>
              <w:t xml:space="preserve">khusus IT </w:t>
            </w:r>
            <w:r>
              <w:rPr>
                <w:rFonts w:cs="Arial" w:asciiTheme="minorHAnsi" w:hAnsiTheme="minorHAnsi"/>
                <w:kern w:val="24"/>
                <w:sz w:val="20"/>
                <w:szCs w:val="20"/>
                <w:lang w:val="it-IT"/>
              </w:rPr>
              <w:t>divisi Neonatologi</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Peningkatan kompetensi dan kemampuan IT neonatologi</w:t>
            </w:r>
          </w:p>
          <w:p>
            <w:pPr>
              <w:spacing w:before="60" w:after="0" w:line="254" w:lineRule="auto"/>
              <w:rPr>
                <w:rFonts w:cs="Arial" w:asciiTheme="minorHAnsi" w:hAnsiTheme="minorHAnsi"/>
                <w:sz w:val="20"/>
                <w:szCs w:val="20"/>
              </w:rPr>
            </w:pPr>
            <w:r>
              <w:rPr>
                <w:rFonts w:cs="Arial" w:asciiTheme="minorHAnsi" w:hAnsiTheme="minorHAnsi"/>
                <w:kern w:val="24"/>
                <w:sz w:val="20"/>
                <w:szCs w:val="20"/>
                <w:lang w:val="id-ID"/>
              </w:rPr>
              <w:t>Memperbaiki sistem rujukan jejaring RSHS</w:t>
            </w:r>
          </w:p>
        </w:tc>
        <w:tc>
          <w:tcPr>
            <w:tcW w:w="2410" w:type="dxa"/>
            <w:shd w:val="clear" w:color="auto" w:fill="auto"/>
          </w:tcPr>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Peningkatan kompetensi dan kemampuan staf/ konsulen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Pemenuhan kelengkapan fasilitas &amp; alat-alat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Pemeliharaan fasilitas dan alat-alat yang sudah ada</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PPDS-1</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PSPD</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perawat NICU / Level 2-3</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w:t>
            </w:r>
            <w:r>
              <w:rPr>
                <w:rFonts w:cs="Arial" w:asciiTheme="minorHAnsi" w:hAnsiTheme="minorHAnsi"/>
                <w:kern w:val="24"/>
                <w:sz w:val="20"/>
                <w:szCs w:val="20"/>
              </w:rPr>
              <w:t>elatihan Perawat ruang bayi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PONEK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Memperbaiki sistem rujukan jejaring RSHS</w:t>
            </w:r>
          </w:p>
        </w:tc>
        <w:tc>
          <w:tcPr>
            <w:tcW w:w="2552" w:type="dxa"/>
            <w:shd w:val="clear" w:color="auto" w:fill="auto"/>
          </w:tcPr>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Peningkatan kompetensi dan kemampuan staf/ konsulen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Pemenuhan kelengkapan fasilitas &amp; alat-alat neonatologi</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Pemeliharaan fasilitas dan alat-alat yang sudah ada</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PPDS-1</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inhouse training PSPD</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perawat NICU / Level 2-3</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w:t>
            </w:r>
            <w:r>
              <w:rPr>
                <w:rFonts w:cs="Arial" w:asciiTheme="minorHAnsi" w:hAnsiTheme="minorHAnsi"/>
                <w:kern w:val="24"/>
                <w:sz w:val="20"/>
                <w:szCs w:val="20"/>
              </w:rPr>
              <w:t>elatihan Perawat ruang bayi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Pelatihan PONEK - inhouse training</w:t>
            </w:r>
          </w:p>
          <w:p>
            <w:pPr>
              <w:spacing w:before="120" w:after="0" w:line="254" w:lineRule="auto"/>
              <w:rPr>
                <w:rFonts w:cs="Arial" w:asciiTheme="minorHAnsi" w:hAnsiTheme="minorHAnsi"/>
                <w:sz w:val="20"/>
                <w:szCs w:val="20"/>
              </w:rPr>
            </w:pPr>
            <w:r>
              <w:rPr>
                <w:rFonts w:cs="Arial" w:asciiTheme="minorHAnsi" w:hAnsiTheme="minorHAnsi"/>
                <w:kern w:val="24"/>
                <w:sz w:val="20"/>
                <w:szCs w:val="20"/>
                <w:lang w:val="id-ID"/>
              </w:rPr>
              <w:t>Memperbaiki sistem rujukan jejaring RSHS</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600" w:hRule="atLeast"/>
        </w:trPr>
        <w:tc>
          <w:tcPr>
            <w:tcW w:w="479" w:type="dxa"/>
            <w:shd w:val="clear" w:color="auto" w:fill="auto"/>
          </w:tcPr>
          <w:p>
            <w:pPr>
              <w:spacing w:after="0" w:line="240" w:lineRule="auto"/>
              <w:rPr>
                <w:color w:val="000000"/>
                <w:sz w:val="20"/>
                <w:szCs w:val="20"/>
              </w:rPr>
            </w:pPr>
            <w:r>
              <w:rPr>
                <w:color w:val="000000"/>
                <w:sz w:val="20"/>
                <w:szCs w:val="20"/>
              </w:rPr>
              <w:t>3</w:t>
            </w:r>
          </w:p>
        </w:tc>
        <w:tc>
          <w:tcPr>
            <w:tcW w:w="1790" w:type="dxa"/>
            <w:shd w:val="clear" w:color="auto" w:fill="auto"/>
          </w:tcPr>
          <w:p>
            <w:pPr>
              <w:spacing w:after="0" w:line="240" w:lineRule="auto"/>
              <w:rPr>
                <w:color w:val="000000"/>
                <w:sz w:val="20"/>
                <w:szCs w:val="20"/>
              </w:rPr>
            </w:pPr>
            <w:r>
              <w:rPr>
                <w:color w:val="000000"/>
                <w:sz w:val="20"/>
                <w:szCs w:val="20"/>
              </w:rPr>
              <w:t>Insidensi kanker servics</w:t>
            </w:r>
          </w:p>
        </w:tc>
        <w:tc>
          <w:tcPr>
            <w:tcW w:w="2551" w:type="dxa"/>
            <w:shd w:val="clear" w:color="auto" w:fill="auto"/>
          </w:tcPr>
          <w:p>
            <w:pPr>
              <w:spacing w:after="0" w:line="240" w:lineRule="auto"/>
              <w:ind w:right="42"/>
              <w:rPr>
                <w:color w:val="000000"/>
                <w:sz w:val="20"/>
                <w:szCs w:val="20"/>
              </w:rPr>
            </w:pPr>
          </w:p>
        </w:tc>
        <w:tc>
          <w:tcPr>
            <w:tcW w:w="2552" w:type="dxa"/>
            <w:shd w:val="clear" w:color="auto" w:fill="auto"/>
          </w:tcPr>
          <w:p>
            <w:pPr>
              <w:spacing w:after="0" w:line="240" w:lineRule="auto"/>
              <w:ind w:right="51"/>
              <w:rPr>
                <w:color w:val="000000"/>
                <w:sz w:val="20"/>
                <w:szCs w:val="20"/>
              </w:rPr>
            </w:pPr>
            <w:r>
              <w:rPr>
                <w:color w:val="000000"/>
                <w:sz w:val="20"/>
                <w:szCs w:val="20"/>
              </w:rPr>
              <w:t>Sosialisasi program penapisan dan deteksi dini di masyarakat  Jawa Barat</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Kerjasama program nasional Gerakan Deteksi  Dini kanker pada perempuan Indonesia</w:t>
            </w:r>
          </w:p>
          <w:p>
            <w:pPr>
              <w:spacing w:after="0" w:line="240" w:lineRule="auto"/>
              <w:ind w:right="51"/>
              <w:rPr>
                <w:color w:val="000000"/>
                <w:sz w:val="20"/>
                <w:szCs w:val="20"/>
              </w:rPr>
            </w:pPr>
            <w:r>
              <w:rPr>
                <w:color w:val="000000"/>
                <w:sz w:val="20"/>
                <w:szCs w:val="20"/>
              </w:rPr>
              <w:t>Pelatihan SpOG RS Regional sebagai terkait program deteksi dini kanker serviks</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Advokasi pada penentu kebijakan dalam dukungan biaya untuk program penanganan deteksi dini kanker serviks</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Pembuatan jaringan IT on line untuk deteksi dini kanker serviks  di tujuh kota kabupaten RS jejaring RSHS</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Penambahan kamar dan alat operasi khusus ginekoonkologi  menjadi 2 kamar</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Kerjasama dengan rumah sakit jejaring untuk melakukan pelayanan tindakan operasi kanker serviks di 1 RS Regional</w:t>
            </w:r>
          </w:p>
          <w:p>
            <w:pPr>
              <w:spacing w:after="0" w:line="240" w:lineRule="auto"/>
              <w:ind w:right="51"/>
              <w:rPr>
                <w:color w:val="000000"/>
                <w:sz w:val="20"/>
                <w:szCs w:val="20"/>
              </w:rPr>
            </w:pPr>
          </w:p>
          <w:p>
            <w:pPr>
              <w:spacing w:after="0" w:line="240" w:lineRule="auto"/>
              <w:ind w:right="51"/>
              <w:rPr>
                <w:color w:val="000000"/>
                <w:sz w:val="20"/>
                <w:szCs w:val="20"/>
              </w:rPr>
            </w:pPr>
            <w:r>
              <w:rPr>
                <w:color w:val="000000"/>
                <w:sz w:val="20"/>
                <w:szCs w:val="20"/>
              </w:rPr>
              <w:t>Penambahan alat endoskopi (Laparoskopi office, histeroskopi office,kolposkopi dan sistoskopi),Krioterapi ,Kauter dan USG 4 dimensi multislice</w:t>
            </w:r>
          </w:p>
          <w:p>
            <w:pPr>
              <w:spacing w:after="0" w:line="240" w:lineRule="auto"/>
              <w:ind w:right="51"/>
              <w:rPr>
                <w:color w:val="000000"/>
                <w:sz w:val="20"/>
                <w:szCs w:val="20"/>
              </w:rPr>
            </w:pPr>
          </w:p>
          <w:p>
            <w:pPr>
              <w:spacing w:after="0" w:line="240" w:lineRule="auto"/>
              <w:ind w:right="51"/>
              <w:rPr>
                <w:sz w:val="20"/>
                <w:szCs w:val="20"/>
              </w:rPr>
            </w:pPr>
            <w:r>
              <w:rPr>
                <w:color w:val="000000"/>
                <w:sz w:val="20"/>
                <w:szCs w:val="20"/>
              </w:rPr>
              <w:t>Jumlah Puskesmas mampu laksana tes IVA mandiri 200</w:t>
            </w:r>
          </w:p>
        </w:tc>
        <w:tc>
          <w:tcPr>
            <w:tcW w:w="2409" w:type="dxa"/>
            <w:shd w:val="clear" w:color="auto" w:fill="auto"/>
          </w:tcPr>
          <w:p>
            <w:pPr>
              <w:spacing w:after="0" w:line="240" w:lineRule="auto"/>
              <w:ind w:right="-54"/>
              <w:rPr>
                <w:color w:val="000000"/>
                <w:sz w:val="20"/>
                <w:szCs w:val="20"/>
              </w:rPr>
            </w:pPr>
            <w:r>
              <w:rPr>
                <w:color w:val="000000"/>
                <w:sz w:val="20"/>
                <w:szCs w:val="20"/>
              </w:rPr>
              <w:t>Sosialisasi program penapisan dan deteksi dini di masyarakat  Jawa Barat</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Kerjasama program nasional Gerakan Deteksi Dini kanker pada perempuan Indonesia</w:t>
            </w:r>
          </w:p>
          <w:p>
            <w:pPr>
              <w:spacing w:after="0" w:line="240" w:lineRule="auto"/>
              <w:ind w:right="-54"/>
              <w:rPr>
                <w:color w:val="000000"/>
                <w:sz w:val="20"/>
                <w:szCs w:val="20"/>
              </w:rPr>
            </w:pPr>
            <w:r>
              <w:rPr>
                <w:color w:val="000000"/>
                <w:sz w:val="20"/>
                <w:szCs w:val="20"/>
              </w:rPr>
              <w:t>Pelatihan SpOG RS Regional  terkait program deteksi dini kanker serviks</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Advokasi pada penentu kebijakan dalam dukungan biaya untuk program penanganan deteksi dini kanker serviks</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Pembuatan jaringan IT on line untuk deteksi dini kanker serviks  di tujuh kota kabupaten RS jejaring RSHS</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Penambahan kamar dan alat operasi khusus ginekoonkologi  menjadi 2 kamar</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Kerjasama dengan rumah sakit jejaring untuk melakukan pelayanan tindakan operasi kanker serviks di  2 RS regional</w:t>
            </w:r>
          </w:p>
          <w:p>
            <w:pPr>
              <w:spacing w:after="0" w:line="240" w:lineRule="auto"/>
              <w:ind w:right="-54"/>
              <w:rPr>
                <w:color w:val="000000"/>
                <w:sz w:val="20"/>
                <w:szCs w:val="20"/>
              </w:rPr>
            </w:pPr>
          </w:p>
          <w:p>
            <w:pPr>
              <w:spacing w:after="0" w:line="240" w:lineRule="auto"/>
              <w:ind w:right="-54"/>
              <w:rPr>
                <w:color w:val="000000"/>
                <w:sz w:val="20"/>
                <w:szCs w:val="20"/>
              </w:rPr>
            </w:pPr>
            <w:r>
              <w:rPr>
                <w:color w:val="000000"/>
                <w:sz w:val="20"/>
                <w:szCs w:val="20"/>
              </w:rPr>
              <w:t>Penambahan alat endoskopi (Laparoskopi office, histeroskopi office,kolposkopi dan sistoskopi),Krioterapi ,Kauter dan USG 4 dimensi multislice</w:t>
            </w:r>
          </w:p>
          <w:p>
            <w:pPr>
              <w:spacing w:after="0" w:line="240" w:lineRule="auto"/>
              <w:ind w:right="-54"/>
              <w:rPr>
                <w:color w:val="000000"/>
                <w:sz w:val="20"/>
                <w:szCs w:val="20"/>
              </w:rPr>
            </w:pPr>
          </w:p>
          <w:p>
            <w:pPr>
              <w:spacing w:after="0" w:line="240" w:lineRule="auto"/>
              <w:ind w:right="-54"/>
              <w:rPr>
                <w:sz w:val="20"/>
                <w:szCs w:val="20"/>
              </w:rPr>
            </w:pPr>
            <w:r>
              <w:rPr>
                <w:color w:val="000000"/>
                <w:sz w:val="20"/>
                <w:szCs w:val="20"/>
              </w:rPr>
              <w:t>Jumlah Puskesmas mampu laksana tes IVA mandiri 210</w:t>
            </w:r>
          </w:p>
        </w:tc>
        <w:tc>
          <w:tcPr>
            <w:tcW w:w="2410" w:type="dxa"/>
            <w:shd w:val="clear" w:color="auto" w:fill="auto"/>
          </w:tcPr>
          <w:p>
            <w:pPr>
              <w:spacing w:after="0" w:line="240" w:lineRule="auto"/>
              <w:rPr>
                <w:color w:val="000000"/>
                <w:sz w:val="20"/>
                <w:szCs w:val="20"/>
              </w:rPr>
            </w:pPr>
            <w:r>
              <w:rPr>
                <w:color w:val="000000"/>
                <w:sz w:val="20"/>
                <w:szCs w:val="20"/>
              </w:rPr>
              <w:t>Sosialisasi program penapisan dan deteksi dini di masyarakat  Jawa Barat</w:t>
            </w:r>
          </w:p>
          <w:p>
            <w:pPr>
              <w:spacing w:after="0" w:line="240" w:lineRule="auto"/>
              <w:rPr>
                <w:color w:val="000000"/>
                <w:sz w:val="20"/>
                <w:szCs w:val="20"/>
              </w:rPr>
            </w:pPr>
          </w:p>
          <w:p>
            <w:pPr>
              <w:spacing w:after="0" w:line="240" w:lineRule="auto"/>
              <w:rPr>
                <w:color w:val="000000"/>
                <w:sz w:val="20"/>
                <w:szCs w:val="20"/>
              </w:rPr>
            </w:pPr>
            <w:r>
              <w:rPr>
                <w:color w:val="000000"/>
                <w:sz w:val="20"/>
                <w:szCs w:val="20"/>
              </w:rPr>
              <w:t>Sosialisasi dan pelaksanaan program Vaksinasi HPV pada wanita usia sekolah di kota Bandung</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Pelatihan SpOG RS Regional  terkait program deteksi dini kanker serviks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Advokasi pada penentu kebijakan dalam dukungan biaya untuk program penanganan deteksi dini kanker serviks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Pembuatan jaringan IT on line untuk deteksi dini kanker serviks  di tujuh kota kabupaten RS jejaring RSHS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Penambahan kamar dan alat operasi khusus ginekoonkologi  menjadi 2 kamar</w:t>
            </w:r>
          </w:p>
          <w:p>
            <w:pPr>
              <w:spacing w:after="0" w:line="240" w:lineRule="auto"/>
              <w:rPr>
                <w:color w:val="000000"/>
                <w:sz w:val="20"/>
                <w:szCs w:val="20"/>
              </w:rPr>
            </w:pPr>
          </w:p>
          <w:p>
            <w:pPr>
              <w:spacing w:after="0" w:line="240" w:lineRule="auto"/>
              <w:rPr>
                <w:color w:val="000000"/>
                <w:sz w:val="20"/>
                <w:szCs w:val="20"/>
              </w:rPr>
            </w:pPr>
            <w:r>
              <w:rPr>
                <w:color w:val="000000"/>
                <w:sz w:val="20"/>
                <w:szCs w:val="20"/>
              </w:rPr>
              <w:t>Kerjasama dengan rumah sakit jejaring untuk melakukan pelayanan tindakan operasi kanker serviks di 3 RS Regional</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Penambahan alat endoskopi (Laparoskopi office, histeroskopi office,kolposkopi dan sistoskopi),Krioterapi ,Kauter dan USG 4 dimensi multislice</w:t>
            </w:r>
          </w:p>
          <w:p>
            <w:pPr>
              <w:spacing w:after="0" w:line="240" w:lineRule="auto"/>
              <w:rPr>
                <w:color w:val="000000"/>
                <w:sz w:val="20"/>
                <w:szCs w:val="20"/>
              </w:rPr>
            </w:pPr>
          </w:p>
          <w:p>
            <w:pPr>
              <w:spacing w:after="0" w:line="240" w:lineRule="auto"/>
              <w:rPr>
                <w:sz w:val="20"/>
                <w:szCs w:val="20"/>
              </w:rPr>
            </w:pPr>
            <w:r>
              <w:rPr>
                <w:color w:val="000000"/>
                <w:sz w:val="20"/>
                <w:szCs w:val="20"/>
              </w:rPr>
              <w:t>Jumlah Puskesmas mampu laksana tes IVA mandiri 220</w:t>
            </w:r>
          </w:p>
        </w:tc>
        <w:tc>
          <w:tcPr>
            <w:tcW w:w="2552" w:type="dxa"/>
            <w:shd w:val="clear" w:color="auto" w:fill="auto"/>
          </w:tcPr>
          <w:p>
            <w:pPr>
              <w:spacing w:after="0" w:line="240" w:lineRule="auto"/>
              <w:rPr>
                <w:color w:val="000000"/>
                <w:sz w:val="20"/>
                <w:szCs w:val="20"/>
              </w:rPr>
            </w:pPr>
            <w:r>
              <w:rPr>
                <w:color w:val="000000"/>
                <w:sz w:val="20"/>
                <w:szCs w:val="20"/>
              </w:rPr>
              <w:t>Sosialisasi program penapisan dan deteksi dini di masyarakat  Jawa Barat</w:t>
            </w:r>
          </w:p>
          <w:p>
            <w:pPr>
              <w:spacing w:after="0" w:line="240" w:lineRule="auto"/>
              <w:rPr>
                <w:color w:val="000000"/>
                <w:sz w:val="20"/>
                <w:szCs w:val="20"/>
              </w:rPr>
            </w:pPr>
          </w:p>
          <w:p>
            <w:pPr>
              <w:spacing w:after="0" w:line="240" w:lineRule="auto"/>
              <w:rPr>
                <w:color w:val="000000"/>
                <w:sz w:val="20"/>
                <w:szCs w:val="20"/>
              </w:rPr>
            </w:pPr>
            <w:r>
              <w:rPr>
                <w:color w:val="000000"/>
                <w:sz w:val="20"/>
                <w:szCs w:val="20"/>
              </w:rPr>
              <w:t>Sosialisasi dan pelaksanaan program Vaksinasi HPV pada wanita usia sekolah di tujuh kota kabupaten RS jejaring RSHS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Pelatihan SpOG RS Regional  terkait program deteksi dini kanker serviks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Advokasi pada penentu kebijakan dalam dukungan biaya untuk program penanganan deteksi dini kanker serviks</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Penggunaan jaringan IT on line untuk deteksi dini kanker serviks yang mencakup seluruh Jawa Barat</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Penambahan kamar dan alat operasi khusus ginekoonkologi  menjadi 2 kamar</w:t>
            </w:r>
          </w:p>
          <w:p>
            <w:pPr>
              <w:spacing w:after="0" w:line="240" w:lineRule="auto"/>
              <w:rPr>
                <w:color w:val="000000"/>
                <w:sz w:val="20"/>
                <w:szCs w:val="20"/>
              </w:rPr>
            </w:pPr>
          </w:p>
          <w:p>
            <w:pPr>
              <w:spacing w:after="0" w:line="240" w:lineRule="auto"/>
              <w:rPr>
                <w:color w:val="000000"/>
                <w:sz w:val="20"/>
                <w:szCs w:val="20"/>
              </w:rPr>
            </w:pPr>
            <w:r>
              <w:rPr>
                <w:color w:val="000000"/>
                <w:sz w:val="20"/>
                <w:szCs w:val="20"/>
              </w:rPr>
              <w:t>Kerjasama dengan rumah sakit jejaring untuk melakukan pelayanan tindakan operasi kanker serviks di 4 RS Regional</w:t>
            </w:r>
          </w:p>
          <w:p>
            <w:pPr>
              <w:spacing w:after="0" w:line="240" w:lineRule="auto"/>
              <w:rPr>
                <w:color w:val="000000"/>
                <w:sz w:val="20"/>
                <w:szCs w:val="20"/>
              </w:rPr>
            </w:pPr>
          </w:p>
          <w:p>
            <w:pPr>
              <w:spacing w:after="0" w:line="240" w:lineRule="auto"/>
              <w:rPr>
                <w:color w:val="000000"/>
                <w:sz w:val="20"/>
                <w:szCs w:val="20"/>
              </w:rPr>
            </w:pPr>
            <w:r>
              <w:rPr>
                <w:color w:val="000000"/>
                <w:sz w:val="20"/>
                <w:szCs w:val="20"/>
              </w:rPr>
              <w:t>Penambahan alat endoskopi (Laparoskopi office, histeroskopi office,kolposkopi dan sistoskopi),Krioterapi ,Kauter dan USG 4 dimensi multislice</w:t>
            </w:r>
          </w:p>
          <w:p>
            <w:pPr>
              <w:spacing w:after="0" w:line="240" w:lineRule="auto"/>
              <w:rPr>
                <w:color w:val="000000"/>
                <w:sz w:val="20"/>
                <w:szCs w:val="20"/>
              </w:rPr>
            </w:pPr>
          </w:p>
          <w:p>
            <w:pPr>
              <w:spacing w:after="0" w:line="240" w:lineRule="auto"/>
              <w:rPr>
                <w:sz w:val="20"/>
                <w:szCs w:val="20"/>
              </w:rPr>
            </w:pPr>
            <w:r>
              <w:rPr>
                <w:color w:val="000000"/>
                <w:sz w:val="20"/>
                <w:szCs w:val="20"/>
              </w:rPr>
              <w:t>Jumlah Puskesmas mampu laksana tes IVA mandiri 230</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4</w:t>
            </w:r>
          </w:p>
        </w:tc>
        <w:tc>
          <w:tcPr>
            <w:tcW w:w="1790" w:type="dxa"/>
            <w:shd w:val="clear" w:color="auto" w:fill="auto"/>
          </w:tcPr>
          <w:p>
            <w:pPr>
              <w:spacing w:after="0" w:line="240" w:lineRule="auto"/>
              <w:rPr>
                <w:color w:val="000000"/>
                <w:sz w:val="20"/>
                <w:szCs w:val="20"/>
              </w:rPr>
            </w:pPr>
            <w:r>
              <w:rPr>
                <w:color w:val="000000"/>
                <w:sz w:val="20"/>
                <w:szCs w:val="20"/>
              </w:rPr>
              <w:t>Hasil survei preferensi masyarakat</w:t>
            </w:r>
          </w:p>
        </w:tc>
        <w:tc>
          <w:tcPr>
            <w:tcW w:w="2551" w:type="dxa"/>
            <w:shd w:val="clear" w:color="auto" w:fill="auto"/>
          </w:tcPr>
          <w:p>
            <w:pPr>
              <w:spacing w:line="240" w:lineRule="auto"/>
              <w:contextualSpacing/>
              <w:rPr>
                <w:color w:val="000000"/>
                <w:sz w:val="20"/>
                <w:szCs w:val="20"/>
              </w:rPr>
            </w:pPr>
            <w:r>
              <w:rPr>
                <w:color w:val="000000"/>
                <w:sz w:val="20"/>
                <w:szCs w:val="20"/>
              </w:rPr>
              <w:t>Peningkatan optimalisasi pemasaran</w:t>
            </w:r>
          </w:p>
          <w:p>
            <w:pPr>
              <w:numPr>
                <w:ilvl w:val="0"/>
                <w:numId w:val="30"/>
              </w:numPr>
              <w:tabs>
                <w:tab w:val="clear" w:pos="720"/>
              </w:tabs>
              <w:spacing w:after="0" w:line="240" w:lineRule="auto"/>
              <w:ind w:left="288" w:hanging="288"/>
              <w:contextualSpacing/>
              <w:rPr>
                <w:color w:val="000000"/>
                <w:sz w:val="20"/>
                <w:szCs w:val="20"/>
              </w:rPr>
            </w:pPr>
            <w:r>
              <w:rPr>
                <w:color w:val="000000"/>
                <w:sz w:val="20"/>
                <w:szCs w:val="20"/>
                <w:lang w:val="id-ID"/>
              </w:rPr>
              <w:t>Mengetahui preferensi masyarakat melalui surveior independen</w:t>
            </w:r>
          </w:p>
          <w:p>
            <w:pPr>
              <w:numPr>
                <w:ilvl w:val="0"/>
                <w:numId w:val="30"/>
              </w:numPr>
              <w:tabs>
                <w:tab w:val="clear" w:pos="720"/>
              </w:tabs>
              <w:spacing w:after="0" w:line="240" w:lineRule="auto"/>
              <w:ind w:left="288" w:hanging="288"/>
              <w:contextualSpacing/>
              <w:rPr>
                <w:color w:val="000000"/>
                <w:sz w:val="20"/>
                <w:szCs w:val="20"/>
              </w:rPr>
            </w:pPr>
            <w:r>
              <w:rPr>
                <w:color w:val="000000"/>
                <w:sz w:val="20"/>
                <w:szCs w:val="20"/>
                <w:lang w:val="id-ID"/>
              </w:rPr>
              <w:t>Evaluasi dan tindak lanjut dari hasil survei</w:t>
            </w:r>
          </w:p>
          <w:p>
            <w:pPr>
              <w:numPr>
                <w:ilvl w:val="0"/>
                <w:numId w:val="30"/>
              </w:numPr>
              <w:tabs>
                <w:tab w:val="clear" w:pos="720"/>
              </w:tabs>
              <w:spacing w:after="0" w:line="240" w:lineRule="auto"/>
              <w:ind w:left="288" w:hanging="288"/>
              <w:contextualSpacing/>
              <w:rPr>
                <w:color w:val="000000"/>
                <w:sz w:val="20"/>
                <w:szCs w:val="20"/>
              </w:rPr>
            </w:pPr>
            <w:r>
              <w:rPr>
                <w:color w:val="000000"/>
                <w:sz w:val="20"/>
                <w:szCs w:val="20"/>
                <w:lang w:val="id-ID"/>
              </w:rPr>
              <w:t>Menyusun strategi pemasaran rs</w:t>
            </w:r>
          </w:p>
          <w:p>
            <w:pPr>
              <w:numPr>
                <w:ilvl w:val="0"/>
                <w:numId w:val="30"/>
              </w:numPr>
              <w:tabs>
                <w:tab w:val="clear" w:pos="720"/>
              </w:tabs>
              <w:spacing w:after="0" w:line="240" w:lineRule="auto"/>
              <w:ind w:left="288" w:hanging="288"/>
              <w:contextualSpacing/>
              <w:rPr>
                <w:color w:val="000000"/>
                <w:sz w:val="20"/>
                <w:szCs w:val="20"/>
              </w:rPr>
            </w:pPr>
            <w:r>
              <w:rPr>
                <w:color w:val="000000"/>
                <w:sz w:val="20"/>
                <w:szCs w:val="20"/>
                <w:lang w:val="id-ID"/>
              </w:rPr>
              <w:t>Pelaksanaan strategi pemasaran rs</w:t>
            </w:r>
          </w:p>
        </w:tc>
        <w:tc>
          <w:tcPr>
            <w:tcW w:w="2552" w:type="dxa"/>
            <w:shd w:val="clear" w:color="auto" w:fill="auto"/>
          </w:tcPr>
          <w:p>
            <w:pPr>
              <w:spacing w:line="240" w:lineRule="auto"/>
              <w:contextualSpacing/>
              <w:rPr>
                <w:sz w:val="20"/>
                <w:szCs w:val="20"/>
              </w:rPr>
            </w:pPr>
            <w:r>
              <w:rPr>
                <w:sz w:val="20"/>
                <w:szCs w:val="20"/>
              </w:rPr>
              <w:t>Peningkatan optimalisasi pemasaran</w:t>
            </w:r>
          </w:p>
          <w:p>
            <w:pPr>
              <w:numPr>
                <w:ilvl w:val="0"/>
                <w:numId w:val="31"/>
              </w:numPr>
              <w:tabs>
                <w:tab w:val="clear" w:pos="720"/>
              </w:tabs>
              <w:spacing w:after="0" w:line="240" w:lineRule="auto"/>
              <w:ind w:left="288" w:hanging="288"/>
              <w:contextualSpacing/>
              <w:rPr>
                <w:sz w:val="20"/>
                <w:szCs w:val="20"/>
              </w:rPr>
            </w:pPr>
            <w:r>
              <w:rPr>
                <w:sz w:val="20"/>
                <w:szCs w:val="20"/>
                <w:lang w:val="id-ID"/>
              </w:rPr>
              <w:t>Kunjungan ke customer (Instansi/Perusahaan)</w:t>
            </w:r>
          </w:p>
          <w:p>
            <w:pPr>
              <w:numPr>
                <w:ilvl w:val="0"/>
                <w:numId w:val="31"/>
              </w:numPr>
              <w:tabs>
                <w:tab w:val="clear" w:pos="720"/>
              </w:tabs>
              <w:spacing w:after="0" w:line="240" w:lineRule="auto"/>
              <w:ind w:left="288" w:hanging="288"/>
              <w:contextualSpacing/>
              <w:rPr>
                <w:sz w:val="20"/>
                <w:szCs w:val="20"/>
              </w:rPr>
            </w:pPr>
            <w:r>
              <w:rPr>
                <w:sz w:val="20"/>
                <w:szCs w:val="20"/>
                <w:lang w:val="id-ID"/>
              </w:rPr>
              <w:t>Alokasi anggaran untuk meningkatkan pemasaran RS</w:t>
            </w:r>
          </w:p>
          <w:p>
            <w:pPr>
              <w:spacing w:after="0" w:line="240" w:lineRule="auto"/>
              <w:ind w:right="51"/>
              <w:contextualSpacing/>
              <w:rPr>
                <w:sz w:val="20"/>
                <w:szCs w:val="20"/>
              </w:rPr>
            </w:pPr>
          </w:p>
        </w:tc>
        <w:tc>
          <w:tcPr>
            <w:tcW w:w="2409" w:type="dxa"/>
            <w:shd w:val="clear" w:color="auto" w:fill="auto"/>
          </w:tcPr>
          <w:p>
            <w:pPr>
              <w:spacing w:line="240" w:lineRule="auto"/>
              <w:contextualSpacing/>
              <w:rPr>
                <w:sz w:val="20"/>
                <w:szCs w:val="20"/>
              </w:rPr>
            </w:pPr>
            <w:r>
              <w:rPr>
                <w:sz w:val="20"/>
                <w:szCs w:val="20"/>
              </w:rPr>
              <w:t>Peningkatan optimalisasi pemasaran</w:t>
            </w:r>
          </w:p>
          <w:p>
            <w:pPr>
              <w:numPr>
                <w:ilvl w:val="0"/>
                <w:numId w:val="32"/>
              </w:numPr>
              <w:tabs>
                <w:tab w:val="clear" w:pos="720"/>
              </w:tabs>
              <w:spacing w:after="0" w:line="240" w:lineRule="auto"/>
              <w:ind w:left="288" w:hanging="288"/>
              <w:contextualSpacing/>
              <w:rPr>
                <w:sz w:val="20"/>
                <w:szCs w:val="20"/>
              </w:rPr>
            </w:pPr>
            <w:r>
              <w:rPr>
                <w:sz w:val="20"/>
                <w:szCs w:val="20"/>
                <w:lang w:val="id-ID"/>
              </w:rPr>
              <w:t>Peningkatan SDM  Pemasaran</w:t>
            </w:r>
          </w:p>
          <w:p>
            <w:pPr>
              <w:numPr>
                <w:ilvl w:val="0"/>
                <w:numId w:val="32"/>
              </w:numPr>
              <w:tabs>
                <w:tab w:val="clear" w:pos="720"/>
              </w:tabs>
              <w:spacing w:after="0" w:line="240" w:lineRule="auto"/>
              <w:ind w:left="288" w:hanging="288"/>
              <w:contextualSpacing/>
              <w:rPr>
                <w:sz w:val="20"/>
                <w:szCs w:val="20"/>
              </w:rPr>
            </w:pPr>
            <w:r>
              <w:rPr>
                <w:sz w:val="20"/>
                <w:szCs w:val="20"/>
                <w:lang w:val="id-ID"/>
              </w:rPr>
              <w:t>Meningkatkan promosi RS</w:t>
            </w:r>
          </w:p>
          <w:p>
            <w:pPr>
              <w:numPr>
                <w:ilvl w:val="0"/>
                <w:numId w:val="32"/>
              </w:numPr>
              <w:tabs>
                <w:tab w:val="clear" w:pos="720"/>
              </w:tabs>
              <w:spacing w:after="0" w:line="240" w:lineRule="auto"/>
              <w:ind w:left="288" w:hanging="288"/>
              <w:contextualSpacing/>
              <w:rPr>
                <w:sz w:val="20"/>
                <w:szCs w:val="20"/>
              </w:rPr>
            </w:pPr>
            <w:r>
              <w:rPr>
                <w:sz w:val="20"/>
                <w:szCs w:val="20"/>
                <w:lang w:val="id-ID"/>
              </w:rPr>
              <w:t>Peningkatan kerja sama pelayanan kesehatan</w:t>
            </w:r>
          </w:p>
          <w:p>
            <w:pPr>
              <w:spacing w:after="0" w:line="240" w:lineRule="auto"/>
              <w:ind w:right="-54"/>
              <w:contextualSpacing/>
              <w:rPr>
                <w:sz w:val="20"/>
                <w:szCs w:val="20"/>
              </w:rPr>
            </w:pPr>
          </w:p>
        </w:tc>
        <w:tc>
          <w:tcPr>
            <w:tcW w:w="2410" w:type="dxa"/>
            <w:shd w:val="clear" w:color="auto" w:fill="auto"/>
          </w:tcPr>
          <w:p>
            <w:pPr>
              <w:spacing w:line="240" w:lineRule="auto"/>
              <w:contextualSpacing/>
              <w:rPr>
                <w:sz w:val="20"/>
                <w:szCs w:val="20"/>
              </w:rPr>
            </w:pPr>
            <w:r>
              <w:rPr>
                <w:sz w:val="20"/>
                <w:szCs w:val="20"/>
              </w:rPr>
              <w:t>Peningkatan optimalisasi pemasaran</w:t>
            </w:r>
          </w:p>
          <w:p>
            <w:pPr>
              <w:numPr>
                <w:ilvl w:val="0"/>
                <w:numId w:val="33"/>
              </w:numPr>
              <w:tabs>
                <w:tab w:val="clear" w:pos="720"/>
              </w:tabs>
              <w:spacing w:after="0" w:line="240" w:lineRule="auto"/>
              <w:ind w:left="288" w:hanging="288"/>
              <w:contextualSpacing/>
              <w:rPr>
                <w:sz w:val="20"/>
                <w:szCs w:val="20"/>
              </w:rPr>
            </w:pPr>
            <w:r>
              <w:rPr>
                <w:sz w:val="20"/>
                <w:szCs w:val="20"/>
                <w:lang w:val="id-ID"/>
              </w:rPr>
              <w:t>Peningkatan kerja sama pelayanan kesehatan, pengelolaan, dan pendidikan</w:t>
            </w:r>
          </w:p>
          <w:p>
            <w:pPr>
              <w:numPr>
                <w:ilvl w:val="0"/>
                <w:numId w:val="33"/>
              </w:numPr>
              <w:tabs>
                <w:tab w:val="clear" w:pos="720"/>
              </w:tabs>
              <w:spacing w:after="0" w:line="240" w:lineRule="auto"/>
              <w:ind w:left="288" w:hanging="288"/>
              <w:contextualSpacing/>
              <w:rPr>
                <w:sz w:val="20"/>
                <w:szCs w:val="20"/>
              </w:rPr>
            </w:pPr>
            <w:r>
              <w:rPr>
                <w:sz w:val="20"/>
                <w:szCs w:val="20"/>
                <w:lang w:val="id-ID"/>
              </w:rPr>
              <w:t>Peningkatan Promosi RS</w:t>
            </w:r>
          </w:p>
          <w:p>
            <w:pPr>
              <w:spacing w:after="0" w:line="240" w:lineRule="auto"/>
              <w:contextualSpacing/>
              <w:rPr>
                <w:sz w:val="20"/>
                <w:szCs w:val="20"/>
              </w:rPr>
            </w:pPr>
          </w:p>
        </w:tc>
        <w:tc>
          <w:tcPr>
            <w:tcW w:w="2552" w:type="dxa"/>
            <w:shd w:val="clear" w:color="auto" w:fill="auto"/>
          </w:tcPr>
          <w:p>
            <w:pPr>
              <w:spacing w:line="240" w:lineRule="auto"/>
              <w:contextualSpacing/>
              <w:rPr>
                <w:sz w:val="20"/>
                <w:szCs w:val="20"/>
              </w:rPr>
            </w:pPr>
            <w:r>
              <w:rPr>
                <w:sz w:val="20"/>
                <w:szCs w:val="20"/>
              </w:rPr>
              <w:t>Peningkatan optimalisasi pemasaran</w:t>
            </w:r>
          </w:p>
          <w:p>
            <w:pPr>
              <w:numPr>
                <w:ilvl w:val="0"/>
                <w:numId w:val="34"/>
              </w:numPr>
              <w:spacing w:after="0" w:line="240" w:lineRule="auto"/>
              <w:ind w:left="288" w:hanging="288"/>
              <w:contextualSpacing/>
              <w:rPr>
                <w:sz w:val="20"/>
                <w:szCs w:val="20"/>
              </w:rPr>
            </w:pPr>
            <w:r>
              <w:rPr>
                <w:sz w:val="20"/>
                <w:szCs w:val="20"/>
                <w:lang w:val="id-ID"/>
              </w:rPr>
              <w:t xml:space="preserve">Evaluasi kerjasama pelayanan kesehatan </w:t>
            </w:r>
          </w:p>
          <w:p>
            <w:pPr>
              <w:numPr>
                <w:ilvl w:val="0"/>
                <w:numId w:val="34"/>
              </w:numPr>
              <w:spacing w:after="0" w:line="240" w:lineRule="auto"/>
              <w:ind w:left="288" w:hanging="288"/>
              <w:contextualSpacing/>
              <w:rPr>
                <w:sz w:val="20"/>
                <w:szCs w:val="20"/>
              </w:rPr>
            </w:pPr>
            <w:r>
              <w:rPr>
                <w:sz w:val="20"/>
                <w:szCs w:val="20"/>
                <w:lang w:val="id-ID"/>
              </w:rPr>
              <w:t>Evaluasi Kegiatan Pemasaran RS</w:t>
            </w:r>
          </w:p>
          <w:p>
            <w:pPr>
              <w:numPr>
                <w:ilvl w:val="0"/>
                <w:numId w:val="34"/>
              </w:numPr>
              <w:spacing w:after="0" w:line="240" w:lineRule="auto"/>
              <w:ind w:left="288" w:hanging="288"/>
              <w:contextualSpacing/>
              <w:rPr>
                <w:sz w:val="20"/>
                <w:szCs w:val="20"/>
              </w:rPr>
            </w:pPr>
            <w:r>
              <w:rPr>
                <w:sz w:val="20"/>
                <w:szCs w:val="20"/>
                <w:lang w:val="id-ID"/>
              </w:rPr>
              <w:t>Kegiatan Pemasaran RS</w:t>
            </w:r>
          </w:p>
          <w:p>
            <w:pPr>
              <w:spacing w:after="0" w:line="240" w:lineRule="auto"/>
              <w:contextualSpacing/>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5</w:t>
            </w:r>
          </w:p>
        </w:tc>
        <w:tc>
          <w:tcPr>
            <w:tcW w:w="1790" w:type="dxa"/>
            <w:shd w:val="clear" w:color="auto" w:fill="auto"/>
          </w:tcPr>
          <w:p>
            <w:pPr>
              <w:spacing w:after="0" w:line="240" w:lineRule="auto"/>
              <w:rPr>
                <w:color w:val="000000"/>
                <w:sz w:val="20"/>
                <w:szCs w:val="20"/>
              </w:rPr>
            </w:pPr>
            <w:r>
              <w:rPr>
                <w:color w:val="000000"/>
                <w:sz w:val="20"/>
                <w:szCs w:val="20"/>
              </w:rPr>
              <w:t>Akredikasi RS</w:t>
            </w:r>
          </w:p>
        </w:tc>
        <w:tc>
          <w:tcPr>
            <w:tcW w:w="2551" w:type="dxa"/>
            <w:shd w:val="clear" w:color="auto" w:fill="auto"/>
          </w:tcPr>
          <w:p>
            <w:pPr>
              <w:spacing w:after="0" w:line="240" w:lineRule="auto"/>
              <w:ind w:right="42"/>
              <w:rPr>
                <w:sz w:val="20"/>
                <w:szCs w:val="20"/>
                <w:lang w:val="id-ID"/>
              </w:rPr>
            </w:pPr>
            <w:r>
              <w:rPr>
                <w:sz w:val="20"/>
                <w:szCs w:val="20"/>
                <w:lang w:val="id-ID"/>
              </w:rPr>
              <w:t>Mempersiapkan Akreditasi JCI</w:t>
            </w:r>
          </w:p>
          <w:p>
            <w:pPr>
              <w:spacing w:after="0" w:line="240" w:lineRule="auto"/>
              <w:ind w:right="42"/>
              <w:rPr>
                <w:color w:val="000000"/>
                <w:sz w:val="20"/>
                <w:szCs w:val="20"/>
              </w:rPr>
            </w:pPr>
            <w:r>
              <w:rPr>
                <w:sz w:val="20"/>
                <w:szCs w:val="20"/>
                <w:lang w:val="id-ID"/>
              </w:rPr>
              <w:t xml:space="preserve">Mewujudkan Penjagaan Mutu ISO pada Pelayanan terkait </w:t>
            </w:r>
            <w:r>
              <w:rPr>
                <w:i/>
                <w:sz w:val="20"/>
                <w:szCs w:val="20"/>
                <w:lang w:val="id-ID"/>
              </w:rPr>
              <w:t>patient safety</w:t>
            </w:r>
          </w:p>
        </w:tc>
        <w:tc>
          <w:tcPr>
            <w:tcW w:w="2552" w:type="dxa"/>
            <w:shd w:val="clear" w:color="auto" w:fill="auto"/>
          </w:tcPr>
          <w:p>
            <w:pPr>
              <w:spacing w:after="0" w:line="240" w:lineRule="auto"/>
              <w:ind w:right="51"/>
              <w:rPr>
                <w:sz w:val="20"/>
                <w:szCs w:val="20"/>
                <w:lang w:val="id-ID"/>
              </w:rPr>
            </w:pPr>
            <w:r>
              <w:rPr>
                <w:sz w:val="20"/>
                <w:szCs w:val="20"/>
                <w:lang w:val="id-ID"/>
              </w:rPr>
              <w:t>Mewujudkan Akreditasi JCI</w:t>
            </w:r>
          </w:p>
          <w:p>
            <w:pPr>
              <w:spacing w:after="0" w:line="240" w:lineRule="auto"/>
              <w:ind w:right="51"/>
              <w:rPr>
                <w:sz w:val="20"/>
                <w:szCs w:val="20"/>
                <w:lang w:val="id-ID"/>
              </w:rPr>
            </w:pPr>
            <w:r>
              <w:rPr>
                <w:sz w:val="20"/>
                <w:szCs w:val="20"/>
                <w:lang w:val="id-ID"/>
              </w:rPr>
              <w:t>Melaksanakan ISO untuk Manajemen</w:t>
            </w:r>
          </w:p>
        </w:tc>
        <w:tc>
          <w:tcPr>
            <w:tcW w:w="2409" w:type="dxa"/>
            <w:shd w:val="clear" w:color="auto" w:fill="auto"/>
          </w:tcPr>
          <w:p>
            <w:pPr>
              <w:spacing w:after="0" w:line="240" w:lineRule="auto"/>
              <w:ind w:right="51"/>
              <w:rPr>
                <w:sz w:val="20"/>
                <w:szCs w:val="20"/>
                <w:lang w:val="id-ID"/>
              </w:rPr>
            </w:pPr>
            <w:r>
              <w:rPr>
                <w:sz w:val="20"/>
                <w:szCs w:val="20"/>
                <w:lang w:val="id-ID"/>
              </w:rPr>
              <w:t>Mewujudkan pemenuhan Akreditasi KARS</w:t>
            </w:r>
          </w:p>
          <w:p>
            <w:pPr>
              <w:spacing w:after="0" w:line="240" w:lineRule="auto"/>
              <w:ind w:right="-54"/>
              <w:rPr>
                <w:sz w:val="20"/>
                <w:szCs w:val="20"/>
              </w:rPr>
            </w:pPr>
          </w:p>
        </w:tc>
        <w:tc>
          <w:tcPr>
            <w:tcW w:w="2410" w:type="dxa"/>
            <w:shd w:val="clear" w:color="auto" w:fill="auto"/>
          </w:tcPr>
          <w:p>
            <w:pPr>
              <w:spacing w:after="0" w:line="240" w:lineRule="auto"/>
              <w:rPr>
                <w:sz w:val="20"/>
                <w:szCs w:val="20"/>
                <w:lang w:val="id-ID"/>
              </w:rPr>
            </w:pPr>
            <w:r>
              <w:rPr>
                <w:sz w:val="20"/>
                <w:szCs w:val="20"/>
                <w:lang w:val="id-ID"/>
              </w:rPr>
              <w:t>Pemeliharaan Standar Mutu Akreditasi JCI dan KARS</w:t>
            </w:r>
          </w:p>
        </w:tc>
        <w:tc>
          <w:tcPr>
            <w:tcW w:w="2552" w:type="dxa"/>
            <w:shd w:val="clear" w:color="auto" w:fill="auto"/>
          </w:tcPr>
          <w:p>
            <w:pPr>
              <w:spacing w:after="0" w:line="240" w:lineRule="auto"/>
              <w:ind w:right="51"/>
              <w:rPr>
                <w:sz w:val="20"/>
                <w:szCs w:val="20"/>
                <w:lang w:val="id-ID"/>
              </w:rPr>
            </w:pPr>
            <w:r>
              <w:rPr>
                <w:sz w:val="20"/>
                <w:szCs w:val="20"/>
                <w:lang w:val="id-ID"/>
              </w:rPr>
              <w:t>Mempertahankan pemenuhan Akreditasi JCI</w:t>
            </w:r>
          </w:p>
          <w:p>
            <w:pPr>
              <w:spacing w:after="0" w:line="240" w:lineRule="auto"/>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6</w:t>
            </w:r>
          </w:p>
        </w:tc>
        <w:tc>
          <w:tcPr>
            <w:tcW w:w="1790" w:type="dxa"/>
            <w:shd w:val="clear" w:color="auto" w:fill="auto"/>
          </w:tcPr>
          <w:p>
            <w:pPr>
              <w:spacing w:after="0" w:line="240" w:lineRule="auto"/>
              <w:rPr>
                <w:color w:val="000000"/>
                <w:sz w:val="20"/>
                <w:szCs w:val="20"/>
              </w:rPr>
            </w:pPr>
            <w:r>
              <w:rPr>
                <w:color w:val="000000"/>
                <w:sz w:val="20"/>
                <w:szCs w:val="20"/>
              </w:rPr>
              <w:t>Tingkat kepuasan pasien</w:t>
            </w:r>
          </w:p>
        </w:tc>
        <w:tc>
          <w:tcPr>
            <w:tcW w:w="2551" w:type="dxa"/>
            <w:shd w:val="clear" w:color="auto" w:fill="auto"/>
          </w:tcPr>
          <w:p>
            <w:pPr>
              <w:spacing w:line="240" w:lineRule="auto"/>
              <w:contextualSpacing/>
              <w:rPr>
                <w:color w:val="000000"/>
                <w:sz w:val="20"/>
                <w:szCs w:val="20"/>
              </w:rPr>
            </w:pPr>
            <w:r>
              <w:rPr>
                <w:color w:val="000000"/>
                <w:sz w:val="20"/>
                <w:szCs w:val="20"/>
                <w:lang w:val="id-ID"/>
              </w:rPr>
              <w:t>Penyediaan fasilitas informasi terintegrasi</w:t>
            </w:r>
          </w:p>
          <w:p>
            <w:pPr>
              <w:numPr>
                <w:ilvl w:val="0"/>
                <w:numId w:val="35"/>
              </w:numPr>
              <w:tabs>
                <w:tab w:val="clear" w:pos="720"/>
              </w:tabs>
              <w:spacing w:after="0" w:line="240" w:lineRule="auto"/>
              <w:ind w:left="288" w:hanging="288"/>
              <w:contextualSpacing/>
              <w:rPr>
                <w:i/>
                <w:color w:val="000000"/>
                <w:sz w:val="20"/>
                <w:szCs w:val="20"/>
              </w:rPr>
            </w:pPr>
            <w:r>
              <w:rPr>
                <w:i/>
                <w:color w:val="000000"/>
                <w:sz w:val="20"/>
                <w:szCs w:val="20"/>
                <w:lang w:val="id-ID"/>
              </w:rPr>
              <w:t>Contact center</w:t>
            </w:r>
          </w:p>
          <w:p>
            <w:pPr>
              <w:numPr>
                <w:ilvl w:val="0"/>
                <w:numId w:val="35"/>
              </w:numPr>
              <w:tabs>
                <w:tab w:val="clear" w:pos="720"/>
              </w:tabs>
              <w:spacing w:after="0" w:line="240" w:lineRule="auto"/>
              <w:ind w:left="288" w:hanging="288"/>
              <w:contextualSpacing/>
              <w:rPr>
                <w:i/>
                <w:color w:val="000000"/>
                <w:sz w:val="20"/>
                <w:szCs w:val="20"/>
              </w:rPr>
            </w:pPr>
            <w:r>
              <w:rPr>
                <w:color w:val="000000"/>
                <w:sz w:val="20"/>
                <w:szCs w:val="20"/>
                <w:lang w:val="id-ID"/>
              </w:rPr>
              <w:t xml:space="preserve">Training  SDM </w:t>
            </w:r>
            <w:r>
              <w:rPr>
                <w:i/>
                <w:color w:val="000000"/>
                <w:sz w:val="20"/>
                <w:szCs w:val="20"/>
                <w:lang w:val="id-ID"/>
              </w:rPr>
              <w:t>contact center</w:t>
            </w:r>
          </w:p>
          <w:p>
            <w:pPr>
              <w:numPr>
                <w:ilvl w:val="0"/>
                <w:numId w:val="35"/>
              </w:numPr>
              <w:tabs>
                <w:tab w:val="clear" w:pos="720"/>
              </w:tabs>
              <w:spacing w:after="0" w:line="240" w:lineRule="auto"/>
              <w:ind w:left="288" w:hanging="288"/>
              <w:contextualSpacing/>
              <w:rPr>
                <w:color w:val="000000"/>
                <w:sz w:val="20"/>
                <w:szCs w:val="20"/>
              </w:rPr>
            </w:pPr>
            <w:r>
              <w:rPr>
                <w:color w:val="000000"/>
                <w:sz w:val="20"/>
                <w:szCs w:val="20"/>
                <w:lang w:val="id-ID"/>
              </w:rPr>
              <w:t xml:space="preserve">Penyempurnaan </w:t>
            </w:r>
            <w:r>
              <w:rPr>
                <w:i/>
                <w:color w:val="000000"/>
                <w:sz w:val="20"/>
                <w:szCs w:val="20"/>
                <w:lang w:val="id-ID"/>
              </w:rPr>
              <w:t>website</w:t>
            </w:r>
            <w:r>
              <w:rPr>
                <w:color w:val="000000"/>
                <w:sz w:val="20"/>
                <w:szCs w:val="20"/>
                <w:lang w:val="id-ID"/>
              </w:rPr>
              <w:t xml:space="preserve"> RSHS</w:t>
            </w:r>
          </w:p>
          <w:p>
            <w:pPr>
              <w:numPr>
                <w:ilvl w:val="0"/>
                <w:numId w:val="35"/>
              </w:numPr>
              <w:tabs>
                <w:tab w:val="clear" w:pos="720"/>
              </w:tabs>
              <w:spacing w:after="0" w:line="240" w:lineRule="auto"/>
              <w:ind w:left="288" w:hanging="288"/>
              <w:contextualSpacing/>
              <w:rPr>
                <w:color w:val="000000"/>
                <w:sz w:val="20"/>
                <w:szCs w:val="20"/>
              </w:rPr>
            </w:pPr>
            <w:r>
              <w:rPr>
                <w:color w:val="000000"/>
                <w:sz w:val="20"/>
                <w:szCs w:val="20"/>
                <w:lang w:val="id-ID"/>
              </w:rPr>
              <w:t>Survei kepuasan pelanggan</w:t>
            </w:r>
          </w:p>
          <w:p>
            <w:pPr>
              <w:spacing w:after="0" w:line="240" w:lineRule="auto"/>
              <w:ind w:right="42"/>
              <w:contextualSpacing/>
              <w:rPr>
                <w:color w:val="000000"/>
                <w:sz w:val="20"/>
                <w:szCs w:val="20"/>
              </w:rPr>
            </w:pPr>
          </w:p>
        </w:tc>
        <w:tc>
          <w:tcPr>
            <w:tcW w:w="2552" w:type="dxa"/>
            <w:shd w:val="clear" w:color="auto" w:fill="auto"/>
          </w:tcPr>
          <w:p>
            <w:pPr>
              <w:spacing w:line="240" w:lineRule="auto"/>
              <w:contextualSpacing/>
              <w:rPr>
                <w:sz w:val="20"/>
                <w:szCs w:val="20"/>
              </w:rPr>
            </w:pPr>
            <w:r>
              <w:rPr>
                <w:sz w:val="20"/>
                <w:szCs w:val="20"/>
                <w:lang w:val="id-ID"/>
              </w:rPr>
              <w:t>Penyempurnaan fasilitas informasi terintegrasi</w:t>
            </w:r>
          </w:p>
          <w:p>
            <w:pPr>
              <w:numPr>
                <w:ilvl w:val="0"/>
                <w:numId w:val="36"/>
              </w:numPr>
              <w:tabs>
                <w:tab w:val="clear" w:pos="720"/>
              </w:tabs>
              <w:spacing w:after="0" w:line="240" w:lineRule="auto"/>
              <w:ind w:left="288" w:hanging="288"/>
              <w:contextualSpacing/>
              <w:rPr>
                <w:sz w:val="20"/>
                <w:szCs w:val="20"/>
              </w:rPr>
            </w:pPr>
            <w:r>
              <w:rPr>
                <w:sz w:val="20"/>
                <w:szCs w:val="20"/>
                <w:lang w:val="id-ID"/>
              </w:rPr>
              <w:t xml:space="preserve">Pemeliharaan </w:t>
            </w:r>
            <w:r>
              <w:rPr>
                <w:i/>
                <w:sz w:val="20"/>
                <w:szCs w:val="20"/>
                <w:lang w:val="id-ID"/>
              </w:rPr>
              <w:t>contact center</w:t>
            </w:r>
          </w:p>
          <w:p>
            <w:pPr>
              <w:numPr>
                <w:ilvl w:val="0"/>
                <w:numId w:val="36"/>
              </w:numPr>
              <w:tabs>
                <w:tab w:val="clear" w:pos="720"/>
              </w:tabs>
              <w:spacing w:after="0" w:line="240" w:lineRule="auto"/>
              <w:ind w:left="288" w:hanging="288"/>
              <w:contextualSpacing/>
              <w:rPr>
                <w:sz w:val="20"/>
                <w:szCs w:val="20"/>
              </w:rPr>
            </w:pPr>
            <w:r>
              <w:rPr>
                <w:sz w:val="20"/>
                <w:szCs w:val="20"/>
                <w:lang w:val="id-ID"/>
              </w:rPr>
              <w:t xml:space="preserve">Penyempurnaan </w:t>
            </w:r>
            <w:r>
              <w:rPr>
                <w:i/>
                <w:sz w:val="20"/>
                <w:szCs w:val="20"/>
                <w:lang w:val="id-ID"/>
              </w:rPr>
              <w:t>contact center</w:t>
            </w:r>
          </w:p>
          <w:p>
            <w:pPr>
              <w:numPr>
                <w:ilvl w:val="0"/>
                <w:numId w:val="36"/>
              </w:numPr>
              <w:tabs>
                <w:tab w:val="clear" w:pos="720"/>
              </w:tabs>
              <w:spacing w:after="0" w:line="240" w:lineRule="auto"/>
              <w:ind w:left="288" w:hanging="288"/>
              <w:contextualSpacing/>
              <w:rPr>
                <w:sz w:val="20"/>
                <w:szCs w:val="20"/>
              </w:rPr>
            </w:pPr>
            <w:r>
              <w:rPr>
                <w:sz w:val="20"/>
                <w:szCs w:val="20"/>
                <w:lang w:val="id-ID"/>
              </w:rPr>
              <w:t>Survei kepuasan pelanggan</w:t>
            </w:r>
          </w:p>
          <w:p>
            <w:pPr>
              <w:numPr>
                <w:ilvl w:val="0"/>
                <w:numId w:val="36"/>
              </w:numPr>
              <w:tabs>
                <w:tab w:val="clear" w:pos="720"/>
              </w:tabs>
              <w:spacing w:after="0" w:line="240" w:lineRule="auto"/>
              <w:ind w:left="288" w:hanging="288"/>
              <w:contextualSpacing/>
              <w:rPr>
                <w:sz w:val="20"/>
                <w:szCs w:val="20"/>
              </w:rPr>
            </w:pPr>
            <w:r>
              <w:rPr>
                <w:sz w:val="20"/>
                <w:szCs w:val="20"/>
                <w:lang w:val="id-ID"/>
              </w:rPr>
              <w:t>Pelatihan  komunikasi efektif</w:t>
            </w:r>
          </w:p>
        </w:tc>
        <w:tc>
          <w:tcPr>
            <w:tcW w:w="2409" w:type="dxa"/>
            <w:shd w:val="clear" w:color="auto" w:fill="auto"/>
          </w:tcPr>
          <w:p>
            <w:pPr>
              <w:spacing w:line="240" w:lineRule="auto"/>
              <w:contextualSpacing/>
              <w:rPr>
                <w:sz w:val="20"/>
                <w:szCs w:val="20"/>
              </w:rPr>
            </w:pPr>
            <w:r>
              <w:rPr>
                <w:sz w:val="20"/>
                <w:szCs w:val="20"/>
                <w:lang w:val="id-ID"/>
              </w:rPr>
              <w:t>Pemeliharaan fasilitas informasi terintegrasi:</w:t>
            </w:r>
          </w:p>
          <w:p>
            <w:pPr>
              <w:numPr>
                <w:ilvl w:val="0"/>
                <w:numId w:val="37"/>
              </w:numPr>
              <w:tabs>
                <w:tab w:val="clear" w:pos="720"/>
              </w:tabs>
              <w:spacing w:after="0" w:line="240" w:lineRule="auto"/>
              <w:ind w:left="288" w:hanging="288"/>
              <w:contextualSpacing/>
              <w:rPr>
                <w:sz w:val="20"/>
                <w:szCs w:val="20"/>
              </w:rPr>
            </w:pPr>
            <w:r>
              <w:rPr>
                <w:sz w:val="20"/>
                <w:szCs w:val="20"/>
                <w:lang w:val="id-ID"/>
              </w:rPr>
              <w:t xml:space="preserve">Pemeliharaan </w:t>
            </w:r>
            <w:r>
              <w:rPr>
                <w:i/>
                <w:sz w:val="20"/>
                <w:szCs w:val="20"/>
                <w:lang w:val="id-ID"/>
              </w:rPr>
              <w:t>contact center</w:t>
            </w:r>
          </w:p>
          <w:p>
            <w:pPr>
              <w:numPr>
                <w:ilvl w:val="0"/>
                <w:numId w:val="37"/>
              </w:numPr>
              <w:tabs>
                <w:tab w:val="clear" w:pos="720"/>
              </w:tabs>
              <w:spacing w:after="0" w:line="240" w:lineRule="auto"/>
              <w:ind w:left="288" w:hanging="288"/>
              <w:contextualSpacing/>
              <w:rPr>
                <w:sz w:val="20"/>
                <w:szCs w:val="20"/>
              </w:rPr>
            </w:pPr>
            <w:r>
              <w:rPr>
                <w:sz w:val="20"/>
                <w:szCs w:val="20"/>
                <w:lang w:val="id-ID"/>
              </w:rPr>
              <w:t xml:space="preserve">Evaluasi </w:t>
            </w:r>
            <w:r>
              <w:rPr>
                <w:i/>
                <w:sz w:val="20"/>
                <w:szCs w:val="20"/>
                <w:lang w:val="id-ID"/>
              </w:rPr>
              <w:t>contact center</w:t>
            </w:r>
          </w:p>
          <w:p>
            <w:pPr>
              <w:numPr>
                <w:ilvl w:val="0"/>
                <w:numId w:val="37"/>
              </w:numPr>
              <w:tabs>
                <w:tab w:val="clear" w:pos="720"/>
              </w:tabs>
              <w:spacing w:after="0" w:line="240" w:lineRule="auto"/>
              <w:ind w:left="288" w:hanging="288"/>
              <w:contextualSpacing/>
              <w:rPr>
                <w:sz w:val="20"/>
                <w:szCs w:val="20"/>
              </w:rPr>
            </w:pPr>
            <w:r>
              <w:rPr>
                <w:sz w:val="20"/>
                <w:szCs w:val="20"/>
                <w:lang w:val="id-ID"/>
              </w:rPr>
              <w:t>Survei kepuasan pelanggan</w:t>
            </w:r>
          </w:p>
          <w:p>
            <w:pPr>
              <w:numPr>
                <w:ilvl w:val="0"/>
                <w:numId w:val="37"/>
              </w:numPr>
              <w:tabs>
                <w:tab w:val="clear" w:pos="720"/>
              </w:tabs>
              <w:spacing w:after="0" w:line="240" w:lineRule="auto"/>
              <w:ind w:left="288" w:hanging="288"/>
              <w:contextualSpacing/>
              <w:rPr>
                <w:sz w:val="20"/>
                <w:szCs w:val="20"/>
              </w:rPr>
            </w:pPr>
            <w:r>
              <w:rPr>
                <w:sz w:val="20"/>
                <w:szCs w:val="20"/>
                <w:lang w:val="id-ID"/>
              </w:rPr>
              <w:t>Pelatihan komunikasi efektif</w:t>
            </w:r>
          </w:p>
        </w:tc>
        <w:tc>
          <w:tcPr>
            <w:tcW w:w="2410" w:type="dxa"/>
            <w:shd w:val="clear" w:color="auto" w:fill="auto"/>
          </w:tcPr>
          <w:p>
            <w:pPr>
              <w:spacing w:line="240" w:lineRule="auto"/>
              <w:contextualSpacing/>
              <w:rPr>
                <w:i/>
                <w:sz w:val="20"/>
                <w:szCs w:val="20"/>
              </w:rPr>
            </w:pPr>
            <w:r>
              <w:rPr>
                <w:i/>
                <w:sz w:val="20"/>
                <w:szCs w:val="20"/>
                <w:lang w:val="id-ID"/>
              </w:rPr>
              <w:t>Service exce</w:t>
            </w:r>
            <w:r>
              <w:rPr>
                <w:i/>
                <w:sz w:val="20"/>
                <w:szCs w:val="20"/>
              </w:rPr>
              <w:t>l</w:t>
            </w:r>
            <w:r>
              <w:rPr>
                <w:i/>
                <w:sz w:val="20"/>
                <w:szCs w:val="20"/>
                <w:lang w:val="id-ID"/>
              </w:rPr>
              <w:t>lent</w:t>
            </w:r>
          </w:p>
          <w:p>
            <w:pPr>
              <w:numPr>
                <w:ilvl w:val="0"/>
                <w:numId w:val="38"/>
              </w:numPr>
              <w:tabs>
                <w:tab w:val="clear" w:pos="720"/>
              </w:tabs>
              <w:spacing w:after="0" w:line="240" w:lineRule="auto"/>
              <w:ind w:left="288" w:hanging="288"/>
              <w:contextualSpacing/>
              <w:rPr>
                <w:i/>
                <w:sz w:val="20"/>
                <w:szCs w:val="20"/>
              </w:rPr>
            </w:pPr>
            <w:r>
              <w:rPr>
                <w:sz w:val="20"/>
                <w:szCs w:val="20"/>
                <w:lang w:val="id-ID"/>
              </w:rPr>
              <w:t xml:space="preserve">Pemeliharaan </w:t>
            </w:r>
            <w:r>
              <w:rPr>
                <w:i/>
                <w:sz w:val="20"/>
                <w:szCs w:val="20"/>
                <w:lang w:val="id-ID"/>
              </w:rPr>
              <w:t>contact center</w:t>
            </w:r>
          </w:p>
          <w:p>
            <w:pPr>
              <w:numPr>
                <w:ilvl w:val="0"/>
                <w:numId w:val="38"/>
              </w:numPr>
              <w:tabs>
                <w:tab w:val="clear" w:pos="720"/>
              </w:tabs>
              <w:spacing w:after="0" w:line="240" w:lineRule="auto"/>
              <w:ind w:left="288" w:hanging="288"/>
              <w:contextualSpacing/>
              <w:rPr>
                <w:sz w:val="20"/>
                <w:szCs w:val="20"/>
              </w:rPr>
            </w:pPr>
            <w:r>
              <w:rPr>
                <w:sz w:val="20"/>
                <w:szCs w:val="20"/>
                <w:lang w:val="id-ID"/>
              </w:rPr>
              <w:t>Sosialisasi komunikasi efektif</w:t>
            </w:r>
          </w:p>
          <w:p>
            <w:pPr>
              <w:numPr>
                <w:ilvl w:val="0"/>
                <w:numId w:val="38"/>
              </w:numPr>
              <w:tabs>
                <w:tab w:val="clear" w:pos="720"/>
              </w:tabs>
              <w:spacing w:after="0" w:line="240" w:lineRule="auto"/>
              <w:ind w:left="288" w:hanging="288"/>
              <w:contextualSpacing/>
              <w:rPr>
                <w:sz w:val="20"/>
                <w:szCs w:val="20"/>
              </w:rPr>
            </w:pPr>
            <w:r>
              <w:rPr>
                <w:sz w:val="20"/>
                <w:szCs w:val="20"/>
                <w:lang w:val="id-ID"/>
              </w:rPr>
              <w:t>Pengembangan pos informasi RS</w:t>
            </w:r>
          </w:p>
          <w:p>
            <w:pPr>
              <w:spacing w:after="0" w:line="240" w:lineRule="auto"/>
              <w:contextualSpacing/>
              <w:rPr>
                <w:sz w:val="20"/>
                <w:szCs w:val="20"/>
              </w:rPr>
            </w:pPr>
          </w:p>
        </w:tc>
        <w:tc>
          <w:tcPr>
            <w:tcW w:w="2552" w:type="dxa"/>
            <w:shd w:val="clear" w:color="auto" w:fill="auto"/>
          </w:tcPr>
          <w:p>
            <w:pPr>
              <w:spacing w:line="240" w:lineRule="auto"/>
              <w:contextualSpacing/>
              <w:rPr>
                <w:sz w:val="20"/>
                <w:szCs w:val="20"/>
              </w:rPr>
            </w:pPr>
            <w:r>
              <w:rPr>
                <w:sz w:val="20"/>
                <w:szCs w:val="20"/>
                <w:lang w:val="id-ID"/>
              </w:rPr>
              <w:t xml:space="preserve">Mempertahankan </w:t>
            </w:r>
            <w:r>
              <w:rPr>
                <w:i/>
                <w:sz w:val="20"/>
                <w:szCs w:val="20"/>
                <w:lang w:val="id-ID"/>
              </w:rPr>
              <w:t>service excellent</w:t>
            </w:r>
          </w:p>
          <w:p>
            <w:pPr>
              <w:numPr>
                <w:ilvl w:val="0"/>
                <w:numId w:val="39"/>
              </w:numPr>
              <w:spacing w:after="0" w:line="240" w:lineRule="auto"/>
              <w:ind w:left="288" w:hanging="288"/>
              <w:contextualSpacing/>
              <w:rPr>
                <w:sz w:val="20"/>
                <w:szCs w:val="20"/>
              </w:rPr>
            </w:pPr>
            <w:r>
              <w:rPr>
                <w:sz w:val="20"/>
                <w:szCs w:val="20"/>
                <w:lang w:val="id-ID"/>
              </w:rPr>
              <w:t xml:space="preserve">Pemeliharaan </w:t>
            </w:r>
            <w:r>
              <w:rPr>
                <w:i/>
                <w:sz w:val="20"/>
                <w:szCs w:val="20"/>
                <w:lang w:val="id-ID"/>
              </w:rPr>
              <w:t>contact center</w:t>
            </w:r>
          </w:p>
          <w:p>
            <w:pPr>
              <w:numPr>
                <w:ilvl w:val="0"/>
                <w:numId w:val="39"/>
              </w:numPr>
              <w:spacing w:after="0" w:line="240" w:lineRule="auto"/>
              <w:ind w:left="288" w:hanging="288"/>
              <w:contextualSpacing/>
              <w:rPr>
                <w:sz w:val="20"/>
                <w:szCs w:val="20"/>
              </w:rPr>
            </w:pPr>
            <w:r>
              <w:rPr>
                <w:sz w:val="20"/>
                <w:szCs w:val="20"/>
                <w:lang w:val="id-ID"/>
              </w:rPr>
              <w:t>Sosialisasi komunikasi efektif</w:t>
            </w:r>
          </w:p>
          <w:p>
            <w:pPr>
              <w:numPr>
                <w:ilvl w:val="0"/>
                <w:numId w:val="39"/>
              </w:numPr>
              <w:spacing w:after="0" w:line="240" w:lineRule="auto"/>
              <w:ind w:left="288" w:hanging="288"/>
              <w:contextualSpacing/>
              <w:rPr>
                <w:sz w:val="20"/>
                <w:szCs w:val="20"/>
              </w:rPr>
            </w:pPr>
            <w:r>
              <w:rPr>
                <w:sz w:val="20"/>
                <w:szCs w:val="20"/>
                <w:lang w:val="id-ID"/>
              </w:rPr>
              <w:t>Memaksimalkan fungsi  pos informasi RS</w:t>
            </w:r>
          </w:p>
          <w:p>
            <w:pPr>
              <w:spacing w:after="0" w:line="240" w:lineRule="auto"/>
              <w:contextualSpacing/>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7</w:t>
            </w:r>
          </w:p>
        </w:tc>
        <w:tc>
          <w:tcPr>
            <w:tcW w:w="1790" w:type="dxa"/>
            <w:shd w:val="clear" w:color="auto" w:fill="auto"/>
          </w:tcPr>
          <w:p>
            <w:pPr>
              <w:spacing w:after="0" w:line="240" w:lineRule="auto"/>
              <w:rPr>
                <w:color w:val="000000"/>
                <w:sz w:val="20"/>
                <w:szCs w:val="20"/>
              </w:rPr>
            </w:pPr>
            <w:r>
              <w:rPr>
                <w:color w:val="000000"/>
                <w:sz w:val="20"/>
                <w:szCs w:val="20"/>
              </w:rPr>
              <w:t>Tingkat kepuasan peserta didik</w:t>
            </w:r>
          </w:p>
        </w:tc>
        <w:tc>
          <w:tcPr>
            <w:tcW w:w="2551" w:type="dxa"/>
            <w:shd w:val="clear" w:color="auto" w:fill="auto"/>
          </w:tcPr>
          <w:p>
            <w:pPr>
              <w:spacing w:line="240" w:lineRule="auto"/>
              <w:contextualSpacing/>
              <w:rPr>
                <w:color w:val="000000"/>
                <w:sz w:val="20"/>
                <w:szCs w:val="20"/>
              </w:rPr>
            </w:pPr>
            <w:r>
              <w:rPr>
                <w:color w:val="000000"/>
                <w:sz w:val="20"/>
                <w:szCs w:val="20"/>
              </w:rPr>
              <w:t>-</w:t>
            </w:r>
          </w:p>
        </w:tc>
        <w:tc>
          <w:tcPr>
            <w:tcW w:w="2552" w:type="dxa"/>
            <w:shd w:val="clear" w:color="auto" w:fill="auto"/>
          </w:tcPr>
          <w:p>
            <w:pPr>
              <w:spacing w:line="240" w:lineRule="auto"/>
              <w:contextualSpacing/>
              <w:rPr>
                <w:sz w:val="20"/>
                <w:szCs w:val="20"/>
              </w:rPr>
            </w:pPr>
            <w:r>
              <w:rPr>
                <w:sz w:val="20"/>
                <w:szCs w:val="20"/>
              </w:rPr>
              <w:t>-</w:t>
            </w:r>
          </w:p>
        </w:tc>
        <w:tc>
          <w:tcPr>
            <w:tcW w:w="2409" w:type="dxa"/>
            <w:shd w:val="clear" w:color="auto" w:fill="auto"/>
          </w:tcPr>
          <w:p>
            <w:pPr>
              <w:spacing w:line="240" w:lineRule="auto"/>
              <w:contextualSpacing/>
              <w:rPr>
                <w:sz w:val="20"/>
                <w:szCs w:val="20"/>
                <w:lang w:val="id-ID"/>
              </w:rPr>
            </w:pPr>
            <w:r>
              <w:rPr>
                <w:sz w:val="20"/>
                <w:szCs w:val="20"/>
                <w:lang w:val="id-ID"/>
              </w:rPr>
              <w:t>Pelaksanaan Survei Peserta Didik Keperawatan, Kebidanan, Non Keperawatan, Tenaga Kesehatan Lainnya, Program Studi Profesi Dokter, Program Studi Pendidikan Dokter Spesialis, Program Pendidikan Sub Spesialis</w:t>
            </w:r>
          </w:p>
        </w:tc>
        <w:tc>
          <w:tcPr>
            <w:tcW w:w="2410" w:type="dxa"/>
            <w:shd w:val="clear" w:color="auto" w:fill="auto"/>
          </w:tcPr>
          <w:p>
            <w:pPr>
              <w:spacing w:after="0" w:line="240" w:lineRule="auto"/>
              <w:rPr>
                <w:sz w:val="20"/>
                <w:szCs w:val="20"/>
              </w:rPr>
            </w:pPr>
            <w:r>
              <w:rPr>
                <w:sz w:val="20"/>
                <w:szCs w:val="20"/>
                <w:lang w:val="id-ID"/>
              </w:rPr>
              <w:t xml:space="preserve">Pelaksanaan Survei Peserta Didik Keperawatan, Kebidanan, Non Keperawatan, Tenaga Kesehatan Lainnya, Program Studi Profesi Dokter, Program Studi Pendidikan Dokter Spesialis, Program Pendidikan Sub Spesialis. </w:t>
            </w:r>
          </w:p>
        </w:tc>
        <w:tc>
          <w:tcPr>
            <w:tcW w:w="2552" w:type="dxa"/>
            <w:shd w:val="clear" w:color="auto" w:fill="auto"/>
          </w:tcPr>
          <w:p>
            <w:pPr>
              <w:spacing w:after="0" w:line="240" w:lineRule="auto"/>
              <w:rPr>
                <w:sz w:val="20"/>
                <w:szCs w:val="20"/>
                <w:lang w:val="id-ID"/>
              </w:rPr>
            </w:pPr>
            <w:r>
              <w:rPr>
                <w:sz w:val="20"/>
                <w:szCs w:val="20"/>
                <w:lang w:val="id-ID"/>
              </w:rPr>
              <w:t>Pelaksanaan Survei Peserta Didik Keperawatan, Kebidanan, Non Keperawatan, Tenaga Kesehatan Lainnya, Program Studi Profesi Dokter, Program Studi Pendidikan Dokter Spesialis, Program Pendidikan Sub Spesialis</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8</w:t>
            </w:r>
          </w:p>
        </w:tc>
        <w:tc>
          <w:tcPr>
            <w:tcW w:w="1790" w:type="dxa"/>
            <w:shd w:val="clear" w:color="auto" w:fill="auto"/>
          </w:tcPr>
          <w:p>
            <w:pPr>
              <w:spacing w:line="240" w:lineRule="auto"/>
              <w:rPr>
                <w:color w:val="000000"/>
                <w:sz w:val="20"/>
                <w:szCs w:val="20"/>
              </w:rPr>
            </w:pPr>
            <w:r>
              <w:rPr>
                <w:color w:val="000000"/>
                <w:sz w:val="20"/>
                <w:szCs w:val="20"/>
              </w:rPr>
              <w:t>% keberhasilan penangan kasus severity level 2 dan 3</w:t>
            </w:r>
          </w:p>
        </w:tc>
        <w:tc>
          <w:tcPr>
            <w:tcW w:w="2551" w:type="dxa"/>
            <w:shd w:val="clear" w:color="auto" w:fill="auto"/>
          </w:tcPr>
          <w:p>
            <w:pPr>
              <w:spacing w:before="80" w:after="0" w:line="240" w:lineRule="auto"/>
              <w:ind w:right="42"/>
              <w:rPr>
                <w:color w:val="000000"/>
                <w:sz w:val="20"/>
                <w:szCs w:val="20"/>
              </w:rPr>
            </w:pPr>
            <w:r>
              <w:rPr>
                <w:color w:val="000000"/>
                <w:sz w:val="20"/>
                <w:szCs w:val="20"/>
              </w:rPr>
              <w:t>Program peningkatan keberhasilan penanganan kasus severity level 2 dan 3 mencapai 82%</w:t>
            </w:r>
            <w:r>
              <w:rPr>
                <w:color w:val="000000"/>
                <w:sz w:val="20"/>
                <w:szCs w:val="20"/>
              </w:rPr>
              <w:tab/>
            </w:r>
          </w:p>
          <w:p>
            <w:pPr>
              <w:spacing w:before="80" w:after="0" w:line="240" w:lineRule="auto"/>
              <w:ind w:right="43"/>
              <w:rPr>
                <w:color w:val="000000"/>
                <w:sz w:val="20"/>
                <w:szCs w:val="20"/>
              </w:rPr>
            </w:pPr>
            <w:r>
              <w:rPr>
                <w:color w:val="000000"/>
                <w:sz w:val="20"/>
                <w:szCs w:val="20"/>
              </w:rPr>
              <w:t>Meningkatkan dukungan program kerja Tim Kanker Restrukturisasi Tim KankeR</w:t>
            </w:r>
          </w:p>
          <w:p>
            <w:pPr>
              <w:pStyle w:val="28"/>
              <w:numPr>
                <w:ilvl w:val="0"/>
                <w:numId w:val="40"/>
              </w:numPr>
              <w:tabs>
                <w:tab w:val="left" w:pos="288"/>
              </w:tabs>
              <w:spacing w:before="80" w:after="0" w:line="240" w:lineRule="auto"/>
              <w:ind w:left="288" w:hanging="288"/>
              <w:contextualSpacing w:val="0"/>
              <w:rPr>
                <w:color w:val="000000"/>
                <w:sz w:val="20"/>
                <w:szCs w:val="20"/>
              </w:rPr>
            </w:pPr>
            <w:r>
              <w:rPr>
                <w:color w:val="000000"/>
                <w:sz w:val="20"/>
                <w:szCs w:val="20"/>
              </w:rPr>
              <w:t>Pertemuan Koordinasi Tim Kanker</w:t>
            </w:r>
            <w:r>
              <w:rPr>
                <w:color w:val="000000"/>
                <w:sz w:val="20"/>
                <w:szCs w:val="20"/>
              </w:rPr>
              <w:tab/>
            </w:r>
          </w:p>
          <w:p>
            <w:pPr>
              <w:spacing w:before="80" w:after="0" w:line="240" w:lineRule="auto"/>
              <w:ind w:left="288"/>
              <w:rPr>
                <w:color w:val="000000"/>
                <w:sz w:val="20"/>
                <w:szCs w:val="20"/>
              </w:rPr>
            </w:pPr>
            <w:r>
              <w:rPr>
                <w:color w:val="000000"/>
                <w:sz w:val="20"/>
                <w:szCs w:val="20"/>
              </w:rPr>
              <w:t>(48 pertemuan)</w:t>
            </w:r>
            <w:r>
              <w:rPr>
                <w:color w:val="000000"/>
                <w:sz w:val="20"/>
                <w:szCs w:val="20"/>
              </w:rPr>
              <w:tab/>
            </w:r>
          </w:p>
          <w:p>
            <w:pPr>
              <w:spacing w:before="80" w:after="0" w:line="240" w:lineRule="auto"/>
              <w:ind w:right="42"/>
              <w:rPr>
                <w:color w:val="000000"/>
                <w:sz w:val="20"/>
                <w:szCs w:val="20"/>
              </w:rPr>
            </w:pPr>
            <w:r>
              <w:rPr>
                <w:color w:val="000000"/>
                <w:sz w:val="20"/>
                <w:szCs w:val="20"/>
              </w:rPr>
              <w:t>Meningkatkan dukungan program kerja Instalasi Penunjang</w:t>
            </w:r>
          </w:p>
          <w:p>
            <w:pPr>
              <w:spacing w:before="80" w:after="0" w:line="240" w:lineRule="auto"/>
              <w:ind w:right="42"/>
              <w:rPr>
                <w:color w:val="000000"/>
                <w:sz w:val="20"/>
                <w:szCs w:val="20"/>
              </w:rPr>
            </w:pPr>
            <w:r>
              <w:rPr>
                <w:color w:val="000000"/>
                <w:sz w:val="20"/>
                <w:szCs w:val="20"/>
              </w:rPr>
              <w:t>Penataan dan penguatan organisasi Instalasi Penunjang</w:t>
            </w:r>
          </w:p>
          <w:p>
            <w:pPr>
              <w:spacing w:before="80" w:after="0" w:line="240" w:lineRule="auto"/>
              <w:ind w:right="42"/>
              <w:rPr>
                <w:color w:val="000000"/>
                <w:sz w:val="20"/>
                <w:szCs w:val="20"/>
              </w:rPr>
            </w:pPr>
            <w:r>
              <w:rPr>
                <w:color w:val="000000"/>
                <w:sz w:val="20"/>
                <w:szCs w:val="20"/>
              </w:rPr>
              <w:t>Pertemuan Koordinasi</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Meningkatkan dukungan program kerja Tim Kanker serta sarana prasarana pelayanan kasus onkologi.</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Meningkatkan sarana prasarana pelayanan bedah sentral.</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Meningkatkan Kinerja Pelayanan Nuklir</w:t>
            </w:r>
          </w:p>
          <w:p>
            <w:pPr>
              <w:spacing w:after="0" w:line="240" w:lineRule="auto"/>
              <w:ind w:right="43"/>
              <w:rPr>
                <w:rFonts w:cs="Arial" w:asciiTheme="minorHAnsi" w:hAnsiTheme="minorHAnsi"/>
                <w:sz w:val="20"/>
                <w:szCs w:val="20"/>
              </w:rPr>
            </w:pPr>
          </w:p>
          <w:p>
            <w:pPr>
              <w:spacing w:after="0" w:line="240" w:lineRule="auto"/>
              <w:ind w:right="43"/>
              <w:rPr>
                <w:rFonts w:cs="Arial" w:asciiTheme="minorHAnsi" w:hAnsiTheme="minorHAnsi"/>
                <w:sz w:val="20"/>
                <w:szCs w:val="20"/>
              </w:rPr>
            </w:pPr>
            <w:r>
              <w:rPr>
                <w:rFonts w:cs="Arial" w:asciiTheme="minorHAnsi" w:hAnsiTheme="minorHAnsi"/>
                <w:sz w:val="20"/>
                <w:szCs w:val="20"/>
              </w:rPr>
              <w:t>Meningkatkan Kinerja Pelayanan Jantung.</w:t>
            </w:r>
          </w:p>
          <w:p>
            <w:pPr>
              <w:spacing w:after="0" w:line="240" w:lineRule="auto"/>
              <w:contextualSpacing/>
              <w:rPr>
                <w:rFonts w:cs="Arial" w:asciiTheme="minorHAnsi" w:hAnsiTheme="minorHAnsi"/>
                <w:sz w:val="20"/>
                <w:szCs w:val="20"/>
              </w:rPr>
            </w:pPr>
          </w:p>
          <w:p>
            <w:pPr>
              <w:spacing w:after="0" w:line="240" w:lineRule="auto"/>
              <w:contextualSpacing/>
              <w:rPr>
                <w:rFonts w:cs="Arial" w:asciiTheme="minorHAnsi" w:hAnsiTheme="minorHAnsi"/>
                <w:sz w:val="20"/>
                <w:szCs w:val="20"/>
              </w:rPr>
            </w:pPr>
            <w:r>
              <w:rPr>
                <w:rFonts w:cs="Arial" w:asciiTheme="minorHAnsi" w:hAnsiTheme="minorHAnsi"/>
                <w:sz w:val="20"/>
                <w:szCs w:val="20"/>
              </w:rPr>
              <w:t>Meningkatkan sarana, prasarana pelayanan kasus infeksi.</w:t>
            </w:r>
          </w:p>
          <w:p>
            <w:pPr>
              <w:spacing w:after="0" w:line="240" w:lineRule="auto"/>
              <w:contextualSpacing/>
              <w:rPr>
                <w:rFonts w:cs="Arial" w:asciiTheme="minorHAnsi" w:hAnsiTheme="minorHAnsi"/>
                <w:sz w:val="20"/>
                <w:szCs w:val="20"/>
              </w:rPr>
            </w:pPr>
            <w:r>
              <w:rPr>
                <w:rFonts w:cs="Arial" w:asciiTheme="minorHAnsi" w:hAnsiTheme="minorHAnsi"/>
                <w:sz w:val="20"/>
                <w:szCs w:val="20"/>
              </w:rPr>
              <w:t>Pengembangan pelayanan Transplantasi Ginjal</w:t>
            </w:r>
          </w:p>
        </w:tc>
        <w:tc>
          <w:tcPr>
            <w:tcW w:w="2409"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Meningkatkan dukungan program kerja Tim Kanker serta sarana prasarana pelayanan kasus onkologi.</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Meningkatkan sarana prasarana pelayanan bedah sentral.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Meningkatkan Kinerja Pelayanan Nuklir</w:t>
            </w:r>
          </w:p>
          <w:p>
            <w:pPr>
              <w:spacing w:after="0" w:line="240" w:lineRule="auto"/>
              <w:ind w:right="43"/>
              <w:rPr>
                <w:rFonts w:cs="Arial" w:asciiTheme="minorHAnsi" w:hAnsiTheme="minorHAnsi"/>
                <w:sz w:val="20"/>
                <w:szCs w:val="20"/>
              </w:rPr>
            </w:pPr>
          </w:p>
          <w:p>
            <w:pPr>
              <w:spacing w:after="0" w:line="240" w:lineRule="auto"/>
              <w:ind w:right="43"/>
              <w:rPr>
                <w:rFonts w:cs="Arial" w:asciiTheme="minorHAnsi" w:hAnsiTheme="minorHAnsi"/>
                <w:sz w:val="20"/>
                <w:szCs w:val="20"/>
              </w:rPr>
            </w:pPr>
            <w:r>
              <w:rPr>
                <w:rFonts w:cs="Arial" w:asciiTheme="minorHAnsi" w:hAnsiTheme="minorHAnsi"/>
                <w:sz w:val="20"/>
                <w:szCs w:val="20"/>
              </w:rPr>
              <w:t>Meningkatkan Kinerja Pelayanan Jantung</w:t>
            </w:r>
          </w:p>
          <w:p>
            <w:pPr>
              <w:spacing w:after="0" w:line="240" w:lineRule="auto"/>
              <w:contextualSpacing/>
              <w:rPr>
                <w:rFonts w:cs="Arial" w:asciiTheme="minorHAnsi" w:hAnsiTheme="minorHAnsi"/>
                <w:sz w:val="20"/>
                <w:szCs w:val="20"/>
              </w:rPr>
            </w:pPr>
          </w:p>
          <w:p>
            <w:pPr>
              <w:spacing w:after="0" w:line="240" w:lineRule="auto"/>
              <w:contextualSpacing/>
              <w:rPr>
                <w:rFonts w:cs="Arial" w:asciiTheme="minorHAnsi" w:hAnsiTheme="minorHAnsi"/>
                <w:sz w:val="20"/>
                <w:szCs w:val="20"/>
              </w:rPr>
            </w:pPr>
            <w:r>
              <w:rPr>
                <w:rFonts w:cs="Arial" w:asciiTheme="minorHAnsi" w:hAnsiTheme="minorHAnsi"/>
                <w:sz w:val="20"/>
                <w:szCs w:val="20"/>
              </w:rPr>
              <w:t>Meningkatkan sarana, prasarana pelayanan kasus infeksi.</w:t>
            </w:r>
          </w:p>
          <w:p>
            <w:pPr>
              <w:spacing w:after="0" w:line="254" w:lineRule="auto"/>
              <w:rPr>
                <w:rFonts w:cs="Arial" w:asciiTheme="minorHAnsi" w:hAnsiTheme="minorHAnsi"/>
                <w:sz w:val="20"/>
                <w:szCs w:val="20"/>
              </w:rPr>
            </w:pPr>
            <w:r>
              <w:rPr>
                <w:rFonts w:cs="Arial" w:asciiTheme="minorHAnsi" w:hAnsiTheme="minorHAnsi"/>
                <w:sz w:val="20"/>
                <w:szCs w:val="20"/>
              </w:rPr>
              <w:t>Pengembangan pelayanan Transplantasi Ginjal</w:t>
            </w:r>
          </w:p>
        </w:tc>
        <w:tc>
          <w:tcPr>
            <w:tcW w:w="2410"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Meningkatkan dukungan program kerja Tim Kanker serta sarana prasarana pelayanan kasus onkologi.</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Meningkatkan sarana prasarana pelayanan bedah sentral.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Meningkatkan Kinerja Pelayanan Nuklir</w:t>
            </w:r>
          </w:p>
          <w:p>
            <w:pPr>
              <w:spacing w:after="0" w:line="240" w:lineRule="auto"/>
              <w:ind w:right="43"/>
              <w:rPr>
                <w:rFonts w:cs="Arial" w:asciiTheme="minorHAnsi" w:hAnsiTheme="minorHAnsi"/>
                <w:sz w:val="20"/>
                <w:szCs w:val="20"/>
              </w:rPr>
            </w:pPr>
          </w:p>
          <w:p>
            <w:pPr>
              <w:spacing w:after="0" w:line="240" w:lineRule="auto"/>
              <w:ind w:right="43"/>
              <w:rPr>
                <w:rFonts w:cs="Arial" w:asciiTheme="minorHAnsi" w:hAnsiTheme="minorHAnsi"/>
                <w:sz w:val="20"/>
                <w:szCs w:val="20"/>
              </w:rPr>
            </w:pPr>
            <w:r>
              <w:rPr>
                <w:rFonts w:cs="Arial" w:asciiTheme="minorHAnsi" w:hAnsiTheme="minorHAnsi"/>
                <w:sz w:val="20"/>
                <w:szCs w:val="20"/>
              </w:rPr>
              <w:t>Meningkatkan Kinerja Pelayanan Jantung</w:t>
            </w:r>
          </w:p>
          <w:p>
            <w:pPr>
              <w:spacing w:after="0" w:line="240" w:lineRule="auto"/>
              <w:contextualSpacing/>
              <w:rPr>
                <w:rFonts w:cs="Arial" w:asciiTheme="minorHAnsi" w:hAnsiTheme="minorHAnsi"/>
                <w:sz w:val="20"/>
                <w:szCs w:val="20"/>
              </w:rPr>
            </w:pPr>
          </w:p>
          <w:p>
            <w:pPr>
              <w:spacing w:after="0" w:line="240" w:lineRule="auto"/>
              <w:contextualSpacing/>
              <w:rPr>
                <w:rFonts w:cs="Arial" w:asciiTheme="minorHAnsi" w:hAnsiTheme="minorHAnsi"/>
                <w:sz w:val="20"/>
                <w:szCs w:val="20"/>
              </w:rPr>
            </w:pPr>
            <w:r>
              <w:rPr>
                <w:rFonts w:cs="Arial" w:asciiTheme="minorHAnsi" w:hAnsiTheme="minorHAnsi"/>
                <w:sz w:val="20"/>
                <w:szCs w:val="20"/>
              </w:rPr>
              <w:t>Meningkatkan sarana, prasarana pelayanan kasus infeksi.</w:t>
            </w:r>
          </w:p>
          <w:p>
            <w:pPr>
              <w:spacing w:after="0" w:line="254" w:lineRule="auto"/>
              <w:rPr>
                <w:rFonts w:cs="Arial" w:asciiTheme="minorHAnsi" w:hAnsiTheme="minorHAnsi"/>
                <w:sz w:val="20"/>
                <w:szCs w:val="20"/>
              </w:rPr>
            </w:pPr>
            <w:r>
              <w:rPr>
                <w:rFonts w:cs="Arial" w:asciiTheme="minorHAnsi" w:hAnsiTheme="minorHAnsi"/>
                <w:sz w:val="20"/>
                <w:szCs w:val="20"/>
              </w:rPr>
              <w:t>Pengembangan pelayanan Transplantasi Ginjal</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Meningkatkan dukungan program kerja Tim Kanker serta srana prasarana pelayanan kasus onkologi.</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Meningkatkan sarana prasarana pelayanan bedah sentral.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Meningkatkan Kinerja Pelayanan Nuklir</w:t>
            </w:r>
          </w:p>
          <w:p>
            <w:pPr>
              <w:spacing w:after="0" w:line="240" w:lineRule="auto"/>
              <w:ind w:right="43"/>
              <w:rPr>
                <w:rFonts w:cs="Arial" w:asciiTheme="minorHAnsi" w:hAnsiTheme="minorHAnsi"/>
                <w:sz w:val="20"/>
                <w:szCs w:val="20"/>
              </w:rPr>
            </w:pPr>
          </w:p>
          <w:p>
            <w:pPr>
              <w:spacing w:after="0" w:line="240" w:lineRule="auto"/>
              <w:ind w:right="43"/>
              <w:rPr>
                <w:rFonts w:cs="Arial" w:asciiTheme="minorHAnsi" w:hAnsiTheme="minorHAnsi"/>
                <w:sz w:val="20"/>
                <w:szCs w:val="20"/>
              </w:rPr>
            </w:pPr>
            <w:r>
              <w:rPr>
                <w:rFonts w:cs="Arial" w:asciiTheme="minorHAnsi" w:hAnsiTheme="minorHAnsi"/>
                <w:sz w:val="20"/>
                <w:szCs w:val="20"/>
              </w:rPr>
              <w:t>Meningkatkan Kinerja Pelayanan Jantung</w:t>
            </w:r>
          </w:p>
          <w:p>
            <w:pPr>
              <w:spacing w:after="0" w:line="240" w:lineRule="auto"/>
              <w:contextualSpacing/>
              <w:rPr>
                <w:rFonts w:cs="Arial" w:asciiTheme="minorHAnsi" w:hAnsiTheme="minorHAnsi"/>
                <w:sz w:val="20"/>
                <w:szCs w:val="20"/>
              </w:rPr>
            </w:pPr>
          </w:p>
          <w:p>
            <w:pPr>
              <w:spacing w:after="0" w:line="240" w:lineRule="auto"/>
              <w:contextualSpacing/>
              <w:rPr>
                <w:rFonts w:cs="Arial" w:asciiTheme="minorHAnsi" w:hAnsiTheme="minorHAnsi"/>
                <w:sz w:val="20"/>
                <w:szCs w:val="20"/>
              </w:rPr>
            </w:pPr>
            <w:r>
              <w:rPr>
                <w:rFonts w:cs="Arial" w:asciiTheme="minorHAnsi" w:hAnsiTheme="minorHAnsi"/>
                <w:sz w:val="20"/>
                <w:szCs w:val="20"/>
              </w:rPr>
              <w:t>Meningkatkan sarana, prasarana pelayanan kasus infeksi.</w:t>
            </w:r>
          </w:p>
          <w:p>
            <w:pPr>
              <w:spacing w:after="0" w:line="254" w:lineRule="auto"/>
              <w:rPr>
                <w:rFonts w:cs="Arial" w:asciiTheme="minorHAnsi" w:hAnsiTheme="minorHAnsi"/>
                <w:sz w:val="20"/>
                <w:szCs w:val="20"/>
              </w:rPr>
            </w:pPr>
            <w:r>
              <w:rPr>
                <w:rFonts w:cs="Arial" w:asciiTheme="minorHAnsi" w:hAnsiTheme="minorHAnsi"/>
                <w:sz w:val="20"/>
                <w:szCs w:val="20"/>
              </w:rPr>
              <w:t>Pengembangan pelayanan Transplantasi Ginjal</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9</w:t>
            </w:r>
          </w:p>
        </w:tc>
        <w:tc>
          <w:tcPr>
            <w:tcW w:w="1790" w:type="dxa"/>
            <w:shd w:val="clear" w:color="auto" w:fill="auto"/>
          </w:tcPr>
          <w:p>
            <w:pPr>
              <w:spacing w:line="240" w:lineRule="auto"/>
              <w:rPr>
                <w:color w:val="000000"/>
                <w:sz w:val="20"/>
                <w:szCs w:val="20"/>
              </w:rPr>
            </w:pPr>
            <w:r>
              <w:rPr>
                <w:color w:val="000000"/>
                <w:sz w:val="20"/>
                <w:szCs w:val="20"/>
              </w:rPr>
              <w:t>NDR rumah sakit</w:t>
            </w:r>
          </w:p>
        </w:tc>
        <w:tc>
          <w:tcPr>
            <w:tcW w:w="2551" w:type="dxa"/>
            <w:shd w:val="clear" w:color="auto" w:fill="auto"/>
          </w:tcPr>
          <w:p>
            <w:pPr>
              <w:spacing w:before="60" w:after="0" w:line="240" w:lineRule="auto"/>
              <w:rPr>
                <w:color w:val="000000"/>
                <w:sz w:val="20"/>
                <w:szCs w:val="20"/>
              </w:rPr>
            </w:pPr>
            <w:r>
              <w:rPr>
                <w:color w:val="000000"/>
                <w:sz w:val="20"/>
                <w:szCs w:val="20"/>
              </w:rPr>
              <w:t>Program penurunan NDR layanan unggulan menjadi 46‰</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 xml:space="preserve">Peningkatan program layanan multidisiplin </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Audit medik kasus kematian layanan unggulan</w:t>
            </w:r>
          </w:p>
          <w:p>
            <w:pPr>
              <w:spacing w:before="60" w:after="0" w:line="240" w:lineRule="auto"/>
              <w:rPr>
                <w:color w:val="000000"/>
                <w:sz w:val="20"/>
                <w:szCs w:val="20"/>
              </w:rPr>
            </w:pPr>
            <w:r>
              <w:rPr>
                <w:color w:val="000000"/>
                <w:sz w:val="20"/>
                <w:szCs w:val="20"/>
              </w:rPr>
              <w:t xml:space="preserve">Penyusunan panduan dan SPO </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Program pencegahan infeksi RS</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 xml:space="preserve">Peningkatan program layanan multidisiplin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Audit medik kasus kematian layanan unggulan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Penyusunan panduan dan SPO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Program pencegahan infeksi RS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sarana prasarana perawatan intensif</w:t>
            </w:r>
          </w:p>
          <w:p>
            <w:pPr>
              <w:spacing w:after="0" w:line="240" w:lineRule="auto"/>
              <w:ind w:right="51"/>
              <w:rPr>
                <w:rFonts w:cs="Arial" w:asciiTheme="minorHAnsi" w:hAnsiTheme="minorHAnsi"/>
                <w:sz w:val="20"/>
                <w:szCs w:val="20"/>
              </w:rPr>
            </w:pPr>
          </w:p>
        </w:tc>
        <w:tc>
          <w:tcPr>
            <w:tcW w:w="2409"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Pertemuan koordinasi dengan rumah sakit daerah</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Peningkatan program layanan multidisiplin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Audit medik kasus kematian layanan unggulan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Program pencegahan infeksi RS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sarana prasarana perawatan intensif</w:t>
            </w:r>
          </w:p>
        </w:tc>
        <w:tc>
          <w:tcPr>
            <w:tcW w:w="2410"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Pertemuan koordinasi dengan rumah sakit daerah</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Peningkatan program layanan multidisiplin </w:t>
            </w:r>
          </w:p>
          <w:p>
            <w:pPr>
              <w:spacing w:after="0" w:line="240" w:lineRule="auto"/>
              <w:rPr>
                <w:rFonts w:cs="Arial" w:asciiTheme="minorHAnsi" w:hAnsiTheme="minorHAnsi"/>
                <w:sz w:val="20"/>
                <w:szCs w:val="20"/>
              </w:rPr>
            </w:pPr>
            <w:r>
              <w:rPr>
                <w:rFonts w:cs="Arial" w:asciiTheme="minorHAnsi" w:hAnsiTheme="minorHAnsi"/>
                <w:sz w:val="20"/>
                <w:szCs w:val="20"/>
              </w:rPr>
              <w:t>Audit medik kasus kematian layanan unggulan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Program pencegahan infeksi RS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sarana prasarana perawatan intensif</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Pertemuan koordinasi dengan rumah sakit daerah</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 xml:space="preserve">Peningkatan program layanan multidisiplin </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Audit medik kasus kematian layanan unggulan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Program pencegahan infeksi RS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sarana prasarana perawatan intensif</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10</w:t>
            </w:r>
          </w:p>
        </w:tc>
        <w:tc>
          <w:tcPr>
            <w:tcW w:w="1790" w:type="dxa"/>
            <w:shd w:val="clear" w:color="auto" w:fill="auto"/>
          </w:tcPr>
          <w:p>
            <w:pPr>
              <w:spacing w:line="240" w:lineRule="auto"/>
              <w:rPr>
                <w:color w:val="000000"/>
                <w:sz w:val="20"/>
                <w:szCs w:val="20"/>
              </w:rPr>
            </w:pPr>
            <w:r>
              <w:rPr>
                <w:color w:val="000000"/>
                <w:sz w:val="20"/>
                <w:szCs w:val="20"/>
              </w:rPr>
              <w:t>% kasus rujukan yang tepat</w:t>
            </w:r>
          </w:p>
        </w:tc>
        <w:tc>
          <w:tcPr>
            <w:tcW w:w="2551" w:type="dxa"/>
            <w:shd w:val="clear" w:color="auto" w:fill="auto"/>
          </w:tcPr>
          <w:p>
            <w:pPr>
              <w:spacing w:before="60" w:after="0" w:line="240" w:lineRule="auto"/>
              <w:rPr>
                <w:color w:val="000000"/>
                <w:sz w:val="20"/>
                <w:szCs w:val="20"/>
              </w:rPr>
            </w:pPr>
            <w:r>
              <w:rPr>
                <w:color w:val="000000"/>
                <w:sz w:val="20"/>
                <w:szCs w:val="20"/>
              </w:rPr>
              <w:t>Program peningkatan persentase kasus rujukan yang tepat mencapai 53%</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Penguatan organisasi dan pengelolaan pelaksanaan sistem rujukan</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Perbaikan dan peningkatan kualitas teknis sistem rujukan</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Koordinasi rumah sakit regional, organisasi profesi dan Dinas Kesehatan</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Pembinaan dan supervisi ke RS Jejaring RSHS</w:t>
            </w:r>
          </w:p>
          <w:p>
            <w:pPr>
              <w:spacing w:before="60" w:after="0" w:line="240" w:lineRule="auto"/>
              <w:rPr>
                <w:color w:val="000000"/>
                <w:sz w:val="20"/>
                <w:szCs w:val="20"/>
              </w:rPr>
            </w:pPr>
          </w:p>
          <w:p>
            <w:pPr>
              <w:spacing w:before="60" w:after="0" w:line="240" w:lineRule="auto"/>
              <w:rPr>
                <w:color w:val="000000"/>
                <w:sz w:val="20"/>
                <w:szCs w:val="20"/>
              </w:rPr>
            </w:pPr>
            <w:r>
              <w:rPr>
                <w:color w:val="000000"/>
                <w:sz w:val="20"/>
                <w:szCs w:val="20"/>
              </w:rPr>
              <w:t>Peningkatan kualitas dan kelengkapan pengisian rekam medik</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Penguatan organisasi dan pengelolaan pelaksanaan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Perbaikan dan peningkatan kualitas teknis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Koordinasi rumah sakit regional, organisasi profesi dan Dinas Kesehatan</w:t>
            </w:r>
          </w:p>
          <w:p>
            <w:pPr>
              <w:spacing w:after="0" w:line="240" w:lineRule="auto"/>
              <w:rPr>
                <w:rFonts w:cs="Arial" w:asciiTheme="minorHAnsi" w:hAnsiTheme="minorHAnsi"/>
                <w:sz w:val="20"/>
                <w:szCs w:val="20"/>
              </w:rPr>
            </w:pPr>
            <w:r>
              <w:rPr>
                <w:rFonts w:cs="Arial" w:asciiTheme="minorHAnsi" w:hAnsiTheme="minorHAnsi"/>
                <w:sz w:val="20"/>
                <w:szCs w:val="20"/>
              </w:rPr>
              <w:t>Pembinaan dan supervisi ke RS Jejaring RSHS</w:t>
            </w:r>
          </w:p>
          <w:p>
            <w:pPr>
              <w:spacing w:after="0" w:line="240" w:lineRule="auto"/>
              <w:ind w:right="51"/>
              <w:rPr>
                <w:rFonts w:cs="Arial" w:asciiTheme="minorHAnsi" w:hAnsiTheme="minorHAnsi"/>
                <w:sz w:val="20"/>
                <w:szCs w:val="20"/>
              </w:rPr>
            </w:pPr>
          </w:p>
          <w:p>
            <w:pPr>
              <w:spacing w:after="0" w:line="240" w:lineRule="auto"/>
              <w:ind w:right="51"/>
              <w:rPr>
                <w:rFonts w:cs="Arial" w:asciiTheme="minorHAnsi" w:hAnsiTheme="minorHAnsi"/>
                <w:sz w:val="20"/>
                <w:szCs w:val="20"/>
              </w:rPr>
            </w:pPr>
            <w:r>
              <w:rPr>
                <w:rFonts w:cs="Arial" w:asciiTheme="minorHAnsi" w:hAnsiTheme="minorHAnsi"/>
                <w:sz w:val="20"/>
                <w:szCs w:val="20"/>
              </w:rPr>
              <w:t>Peningkatan kualitas dan kelengkapan pengisian rekam medik</w:t>
            </w:r>
          </w:p>
        </w:tc>
        <w:tc>
          <w:tcPr>
            <w:tcW w:w="2409"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Penguatan organisasi dan pengelolaan pelaksanaan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Perbaikan dan peningkatan kualitas teknis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Koordinasi rumah sakit regional, organisasi profesi dan Dinas Kesehatan</w:t>
            </w:r>
          </w:p>
          <w:p>
            <w:pPr>
              <w:spacing w:after="0" w:line="240" w:lineRule="auto"/>
              <w:rPr>
                <w:rFonts w:cs="Arial" w:asciiTheme="minorHAnsi" w:hAnsiTheme="minorHAnsi"/>
                <w:sz w:val="20"/>
                <w:szCs w:val="20"/>
              </w:rPr>
            </w:pPr>
            <w:r>
              <w:rPr>
                <w:rFonts w:cs="Arial" w:asciiTheme="minorHAnsi" w:hAnsiTheme="minorHAnsi"/>
                <w:sz w:val="20"/>
                <w:szCs w:val="20"/>
              </w:rPr>
              <w:t>Pembinaan dan supervisi ke RS Jejaring RSHS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kualitas dan kelengkapan pengisian rekam medik</w:t>
            </w:r>
          </w:p>
        </w:tc>
        <w:tc>
          <w:tcPr>
            <w:tcW w:w="2410"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Penguatan organisasi dan pengelolaan pelaksanaan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Perbaikan dan peningkatan kualitas teknis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Koordinasi rumah sakit regional, organisasi profesi dan Dinas Kesehatan</w:t>
            </w:r>
          </w:p>
          <w:p>
            <w:pPr>
              <w:spacing w:after="0" w:line="240" w:lineRule="auto"/>
              <w:rPr>
                <w:rFonts w:cs="Arial" w:asciiTheme="minorHAnsi" w:hAnsiTheme="minorHAnsi"/>
                <w:sz w:val="20"/>
                <w:szCs w:val="20"/>
              </w:rPr>
            </w:pPr>
            <w:r>
              <w:rPr>
                <w:rFonts w:cs="Arial" w:asciiTheme="minorHAnsi" w:hAnsiTheme="minorHAnsi"/>
                <w:sz w:val="20"/>
                <w:szCs w:val="20"/>
              </w:rPr>
              <w:t>Pembinaan dan supervisi ke RS Jejaring RSHS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kualitas dan kelengkapan pengisian rekam medik</w:t>
            </w:r>
          </w:p>
        </w:tc>
        <w:tc>
          <w:tcPr>
            <w:tcW w:w="2552" w:type="dxa"/>
            <w:shd w:val="clear" w:color="auto" w:fill="auto"/>
          </w:tcPr>
          <w:p>
            <w:pPr>
              <w:spacing w:after="0" w:line="240" w:lineRule="auto"/>
              <w:rPr>
                <w:rFonts w:cs="Arial" w:asciiTheme="minorHAnsi" w:hAnsiTheme="minorHAnsi"/>
                <w:sz w:val="20"/>
                <w:szCs w:val="20"/>
              </w:rPr>
            </w:pPr>
            <w:r>
              <w:rPr>
                <w:rFonts w:cs="Arial" w:asciiTheme="minorHAnsi" w:hAnsiTheme="minorHAnsi"/>
                <w:sz w:val="20"/>
                <w:szCs w:val="20"/>
              </w:rPr>
              <w:t>Penguatan organisasi dan pengelolaan pelaksanaan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Perbaikan dan peningkatan kualitas teknis sistem rujukan</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Koordinasi rumah sakit regional, organisasi profesi dan Dinas Kesehatan</w:t>
            </w:r>
          </w:p>
          <w:p>
            <w:pPr>
              <w:spacing w:after="0" w:line="240" w:lineRule="auto"/>
              <w:rPr>
                <w:rFonts w:cs="Arial" w:asciiTheme="minorHAnsi" w:hAnsiTheme="minorHAnsi"/>
                <w:sz w:val="20"/>
                <w:szCs w:val="20"/>
              </w:rPr>
            </w:pPr>
            <w:r>
              <w:rPr>
                <w:rFonts w:cs="Arial" w:asciiTheme="minorHAnsi" w:hAnsiTheme="minorHAnsi"/>
                <w:sz w:val="20"/>
                <w:szCs w:val="20"/>
              </w:rPr>
              <w:t>Pembinaan dan supervisi ke RS Jejaring RSHS</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r>
              <w:rPr>
                <w:rFonts w:cs="Arial" w:asciiTheme="minorHAnsi" w:hAnsiTheme="minorHAnsi"/>
                <w:sz w:val="20"/>
                <w:szCs w:val="20"/>
              </w:rPr>
              <w:t>Peningkatan kualitas dan kelengkapan pengisian rekam medik</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185" w:hRule="atLeast"/>
        </w:trPr>
        <w:tc>
          <w:tcPr>
            <w:tcW w:w="479" w:type="dxa"/>
            <w:shd w:val="clear" w:color="auto" w:fill="auto"/>
          </w:tcPr>
          <w:p>
            <w:pPr>
              <w:spacing w:after="0" w:line="240" w:lineRule="auto"/>
              <w:rPr>
                <w:color w:val="000000"/>
                <w:sz w:val="20"/>
                <w:szCs w:val="20"/>
              </w:rPr>
            </w:pPr>
            <w:r>
              <w:rPr>
                <w:color w:val="000000"/>
                <w:sz w:val="20"/>
                <w:szCs w:val="20"/>
              </w:rPr>
              <w:t>11</w:t>
            </w:r>
          </w:p>
        </w:tc>
        <w:tc>
          <w:tcPr>
            <w:tcW w:w="1790" w:type="dxa"/>
            <w:shd w:val="clear" w:color="auto" w:fill="auto"/>
          </w:tcPr>
          <w:p>
            <w:pPr>
              <w:spacing w:line="240" w:lineRule="auto"/>
              <w:rPr>
                <w:color w:val="000000"/>
                <w:sz w:val="20"/>
                <w:szCs w:val="20"/>
              </w:rPr>
            </w:pPr>
            <w:r>
              <w:rPr>
                <w:color w:val="000000"/>
                <w:sz w:val="20"/>
                <w:szCs w:val="20"/>
              </w:rPr>
              <w:t>Jumlah KSO alat medik &gt; Rp.3M</w:t>
            </w:r>
          </w:p>
        </w:tc>
        <w:tc>
          <w:tcPr>
            <w:tcW w:w="2551" w:type="dxa"/>
            <w:shd w:val="clear" w:color="auto" w:fill="auto"/>
          </w:tcPr>
          <w:p>
            <w:pPr>
              <w:spacing w:after="0" w:line="240" w:lineRule="auto"/>
              <w:rPr>
                <w:color w:val="000000"/>
                <w:sz w:val="20"/>
                <w:szCs w:val="20"/>
              </w:rPr>
            </w:pPr>
            <w:r>
              <w:rPr>
                <w:color w:val="000000"/>
                <w:sz w:val="20"/>
                <w:szCs w:val="20"/>
              </w:rPr>
              <w:t>Pemetaan alat kesehatan yang dibutuhkan (koordinasi dengan Direktorat Medik dan Keperawatan)</w:t>
            </w:r>
          </w:p>
          <w:p>
            <w:pPr>
              <w:pStyle w:val="28"/>
              <w:numPr>
                <w:ilvl w:val="0"/>
                <w:numId w:val="41"/>
              </w:numPr>
              <w:spacing w:line="240" w:lineRule="auto"/>
              <w:ind w:left="288" w:hanging="288"/>
              <w:rPr>
                <w:color w:val="000000"/>
                <w:sz w:val="20"/>
                <w:szCs w:val="20"/>
              </w:rPr>
            </w:pPr>
            <w:r>
              <w:rPr>
                <w:color w:val="000000"/>
                <w:sz w:val="20"/>
                <w:szCs w:val="20"/>
              </w:rPr>
              <w:t>Workshop ( Laboratorium Patologi Klinik, Hemodialisa, Radiologi, Radiotherapi, Kedokteran Nuklir)</w:t>
            </w:r>
          </w:p>
          <w:p>
            <w:pPr>
              <w:pStyle w:val="28"/>
              <w:numPr>
                <w:ilvl w:val="0"/>
                <w:numId w:val="41"/>
              </w:numPr>
              <w:spacing w:line="240" w:lineRule="auto"/>
              <w:ind w:left="288" w:hanging="288"/>
              <w:rPr>
                <w:color w:val="000000"/>
                <w:sz w:val="20"/>
                <w:szCs w:val="20"/>
              </w:rPr>
            </w:pPr>
            <w:r>
              <w:rPr>
                <w:color w:val="000000"/>
                <w:sz w:val="20"/>
                <w:szCs w:val="20"/>
              </w:rPr>
              <w:t>Penentuan skala prioritas (layanan unggulan)</w:t>
            </w:r>
          </w:p>
          <w:p>
            <w:pPr>
              <w:spacing w:after="0" w:line="240" w:lineRule="auto"/>
              <w:rPr>
                <w:color w:val="000000"/>
                <w:sz w:val="20"/>
                <w:szCs w:val="20"/>
              </w:rPr>
            </w:pPr>
            <w:r>
              <w:rPr>
                <w:color w:val="000000"/>
                <w:sz w:val="20"/>
                <w:szCs w:val="20"/>
              </w:rPr>
              <w:t>Memfasilitasi Legal Aspek KSO</w:t>
            </w:r>
          </w:p>
          <w:p>
            <w:pPr>
              <w:pStyle w:val="28"/>
              <w:numPr>
                <w:ilvl w:val="0"/>
                <w:numId w:val="42"/>
              </w:numPr>
              <w:spacing w:line="240" w:lineRule="auto"/>
              <w:ind w:left="288" w:hanging="288"/>
              <w:rPr>
                <w:color w:val="000000"/>
                <w:sz w:val="20"/>
                <w:szCs w:val="20"/>
              </w:rPr>
            </w:pPr>
            <w:r>
              <w:rPr>
                <w:color w:val="000000"/>
                <w:sz w:val="20"/>
                <w:szCs w:val="20"/>
              </w:rPr>
              <w:t>Koordinasi pihak terkait</w:t>
            </w:r>
          </w:p>
          <w:p>
            <w:pPr>
              <w:pStyle w:val="28"/>
              <w:numPr>
                <w:ilvl w:val="0"/>
                <w:numId w:val="42"/>
              </w:numPr>
              <w:spacing w:line="240" w:lineRule="auto"/>
              <w:ind w:left="288" w:hanging="288"/>
              <w:rPr>
                <w:color w:val="000000"/>
                <w:sz w:val="20"/>
                <w:szCs w:val="20"/>
              </w:rPr>
            </w:pPr>
            <w:r>
              <w:rPr>
                <w:color w:val="000000"/>
                <w:sz w:val="20"/>
                <w:szCs w:val="20"/>
              </w:rPr>
              <w:t>Penyusunan draft Perjanjian</w:t>
            </w:r>
          </w:p>
          <w:p>
            <w:pPr>
              <w:pStyle w:val="28"/>
              <w:numPr>
                <w:ilvl w:val="0"/>
                <w:numId w:val="42"/>
              </w:numPr>
              <w:spacing w:line="240" w:lineRule="auto"/>
              <w:ind w:left="288" w:hanging="288"/>
              <w:rPr>
                <w:color w:val="000000"/>
                <w:sz w:val="20"/>
                <w:szCs w:val="20"/>
              </w:rPr>
            </w:pPr>
            <w:r>
              <w:rPr>
                <w:color w:val="000000"/>
                <w:sz w:val="20"/>
                <w:szCs w:val="20"/>
              </w:rPr>
              <w:t>Kajian draft Perjanjian</w:t>
            </w:r>
          </w:p>
          <w:p>
            <w:pPr>
              <w:pStyle w:val="28"/>
              <w:numPr>
                <w:ilvl w:val="0"/>
                <w:numId w:val="42"/>
              </w:numPr>
              <w:spacing w:line="240" w:lineRule="auto"/>
              <w:ind w:left="288" w:hanging="288"/>
              <w:rPr>
                <w:color w:val="000000"/>
                <w:sz w:val="20"/>
                <w:szCs w:val="20"/>
              </w:rPr>
            </w:pPr>
            <w:r>
              <w:rPr>
                <w:color w:val="000000"/>
                <w:sz w:val="20"/>
                <w:szCs w:val="20"/>
              </w:rPr>
              <w:t>Finalisasi Naskah Perjanjian</w:t>
            </w:r>
          </w:p>
        </w:tc>
        <w:tc>
          <w:tcPr>
            <w:tcW w:w="2552" w:type="dxa"/>
            <w:shd w:val="clear" w:color="auto" w:fill="auto"/>
          </w:tcPr>
          <w:p>
            <w:pPr>
              <w:spacing w:after="0" w:line="240" w:lineRule="auto"/>
              <w:rPr>
                <w:sz w:val="20"/>
                <w:szCs w:val="20"/>
              </w:rPr>
            </w:pPr>
            <w:r>
              <w:rPr>
                <w:sz w:val="20"/>
                <w:szCs w:val="20"/>
              </w:rPr>
              <w:t>Monitoring dan Evaluasi alat kesehatan yang sudah ada (koordinasi dengan Direktorat Medik dan Keperawatan)</w:t>
            </w:r>
          </w:p>
          <w:p>
            <w:pPr>
              <w:pStyle w:val="28"/>
              <w:numPr>
                <w:ilvl w:val="0"/>
                <w:numId w:val="43"/>
              </w:numPr>
              <w:spacing w:after="0" w:line="240" w:lineRule="auto"/>
              <w:ind w:left="288" w:hanging="288"/>
              <w:contextualSpacing w:val="0"/>
              <w:rPr>
                <w:sz w:val="20"/>
                <w:szCs w:val="20"/>
              </w:rPr>
            </w:pPr>
            <w:r>
              <w:rPr>
                <w:sz w:val="20"/>
                <w:szCs w:val="20"/>
              </w:rPr>
              <w:t>Rapat Tim Evaluasi PKS  dan pihak/unit terkait</w:t>
            </w:r>
          </w:p>
          <w:p>
            <w:pPr>
              <w:spacing w:after="0" w:line="240" w:lineRule="auto"/>
              <w:rPr>
                <w:sz w:val="20"/>
                <w:szCs w:val="20"/>
              </w:rPr>
            </w:pPr>
          </w:p>
          <w:p>
            <w:pPr>
              <w:spacing w:after="0" w:line="240" w:lineRule="auto"/>
              <w:rPr>
                <w:sz w:val="20"/>
                <w:szCs w:val="20"/>
              </w:rPr>
            </w:pPr>
            <w:r>
              <w:rPr>
                <w:sz w:val="20"/>
                <w:szCs w:val="20"/>
              </w:rPr>
              <w:t>Memfasilitasi Legal Aspek KSO Baru dan perpanjangan</w:t>
            </w:r>
          </w:p>
          <w:p>
            <w:pPr>
              <w:pStyle w:val="28"/>
              <w:numPr>
                <w:ilvl w:val="0"/>
                <w:numId w:val="43"/>
              </w:numPr>
              <w:spacing w:line="240" w:lineRule="auto"/>
              <w:ind w:left="288" w:hanging="288"/>
              <w:rPr>
                <w:sz w:val="20"/>
                <w:szCs w:val="20"/>
              </w:rPr>
            </w:pPr>
            <w:r>
              <w:rPr>
                <w:sz w:val="20"/>
                <w:szCs w:val="20"/>
              </w:rPr>
              <w:t>Koordinasi pihak terkait</w:t>
            </w:r>
          </w:p>
          <w:p>
            <w:pPr>
              <w:pStyle w:val="28"/>
              <w:numPr>
                <w:ilvl w:val="0"/>
                <w:numId w:val="43"/>
              </w:numPr>
              <w:spacing w:line="240" w:lineRule="auto"/>
              <w:ind w:left="288" w:hanging="288"/>
              <w:rPr>
                <w:sz w:val="20"/>
                <w:szCs w:val="20"/>
              </w:rPr>
            </w:pPr>
            <w:r>
              <w:rPr>
                <w:sz w:val="20"/>
                <w:szCs w:val="20"/>
              </w:rPr>
              <w:t>Penyusunan draft Perjanjian</w:t>
            </w:r>
          </w:p>
          <w:p>
            <w:pPr>
              <w:pStyle w:val="28"/>
              <w:numPr>
                <w:ilvl w:val="0"/>
                <w:numId w:val="43"/>
              </w:numPr>
              <w:spacing w:line="240" w:lineRule="auto"/>
              <w:ind w:left="288" w:hanging="288"/>
              <w:rPr>
                <w:sz w:val="20"/>
                <w:szCs w:val="20"/>
              </w:rPr>
            </w:pPr>
            <w:r>
              <w:rPr>
                <w:sz w:val="20"/>
                <w:szCs w:val="20"/>
              </w:rPr>
              <w:t>Kajian draft Perjanjian</w:t>
            </w:r>
          </w:p>
          <w:p>
            <w:pPr>
              <w:pStyle w:val="28"/>
              <w:numPr>
                <w:ilvl w:val="0"/>
                <w:numId w:val="43"/>
              </w:numPr>
              <w:spacing w:line="240" w:lineRule="auto"/>
              <w:ind w:left="288" w:hanging="288"/>
              <w:rPr>
                <w:sz w:val="20"/>
                <w:szCs w:val="20"/>
              </w:rPr>
            </w:pPr>
            <w:r>
              <w:rPr>
                <w:sz w:val="20"/>
                <w:szCs w:val="20"/>
              </w:rPr>
              <w:t>Finalisasi Naskah Perjanjian</w:t>
            </w:r>
          </w:p>
        </w:tc>
        <w:tc>
          <w:tcPr>
            <w:tcW w:w="2409" w:type="dxa"/>
            <w:shd w:val="clear" w:color="auto" w:fill="auto"/>
          </w:tcPr>
          <w:p>
            <w:pPr>
              <w:spacing w:after="0" w:line="240" w:lineRule="auto"/>
              <w:rPr>
                <w:sz w:val="20"/>
                <w:szCs w:val="20"/>
              </w:rPr>
            </w:pPr>
            <w:r>
              <w:rPr>
                <w:sz w:val="20"/>
                <w:szCs w:val="20"/>
              </w:rPr>
              <w:t>Pemetaan alat kesehatan yang dibutuhkan (koordinasi dengan Direktorat Medik dan Keperawatan)</w:t>
            </w:r>
          </w:p>
          <w:p>
            <w:pPr>
              <w:pStyle w:val="28"/>
              <w:numPr>
                <w:ilvl w:val="0"/>
                <w:numId w:val="43"/>
              </w:numPr>
              <w:spacing w:line="240" w:lineRule="auto"/>
              <w:ind w:left="288" w:hanging="288"/>
              <w:rPr>
                <w:sz w:val="20"/>
                <w:szCs w:val="20"/>
              </w:rPr>
            </w:pPr>
            <w:r>
              <w:rPr>
                <w:sz w:val="20"/>
                <w:szCs w:val="20"/>
              </w:rPr>
              <w:t>Workshop (Laboratorium Patologi Klinik, Hemodialisa, Radiologi, Radiotherapi, Kedokteran Nuklir)</w:t>
            </w:r>
          </w:p>
          <w:p>
            <w:pPr>
              <w:pStyle w:val="28"/>
              <w:numPr>
                <w:ilvl w:val="0"/>
                <w:numId w:val="43"/>
              </w:numPr>
              <w:spacing w:line="240" w:lineRule="auto"/>
              <w:ind w:left="288" w:hanging="288"/>
              <w:rPr>
                <w:sz w:val="20"/>
                <w:szCs w:val="20"/>
              </w:rPr>
            </w:pPr>
            <w:r>
              <w:rPr>
                <w:sz w:val="20"/>
                <w:szCs w:val="20"/>
              </w:rPr>
              <w:t>Penentuan skala prioritas (layanan unggulan)</w:t>
            </w:r>
          </w:p>
          <w:p>
            <w:pPr>
              <w:spacing w:after="0" w:line="240" w:lineRule="auto"/>
              <w:rPr>
                <w:sz w:val="20"/>
                <w:szCs w:val="20"/>
              </w:rPr>
            </w:pPr>
            <w:r>
              <w:rPr>
                <w:sz w:val="20"/>
                <w:szCs w:val="20"/>
              </w:rPr>
              <w:t>Evaluasi alat kesehatan yang sudah ada (koordinasi dengan Direktorat Medik dan Keperawatan)</w:t>
            </w:r>
          </w:p>
          <w:p>
            <w:pPr>
              <w:pStyle w:val="28"/>
              <w:numPr>
                <w:ilvl w:val="0"/>
                <w:numId w:val="44"/>
              </w:numPr>
              <w:spacing w:line="240" w:lineRule="auto"/>
              <w:ind w:left="288" w:hanging="288"/>
              <w:contextualSpacing w:val="0"/>
              <w:rPr>
                <w:sz w:val="20"/>
                <w:szCs w:val="20"/>
              </w:rPr>
            </w:pPr>
            <w:r>
              <w:rPr>
                <w:sz w:val="20"/>
                <w:szCs w:val="20"/>
              </w:rPr>
              <w:t xml:space="preserve">Rapat Tim Evaluasi PKS </w:t>
            </w:r>
          </w:p>
          <w:p>
            <w:pPr>
              <w:spacing w:after="0" w:line="240" w:lineRule="auto"/>
              <w:rPr>
                <w:sz w:val="20"/>
                <w:szCs w:val="20"/>
              </w:rPr>
            </w:pPr>
            <w:r>
              <w:rPr>
                <w:sz w:val="20"/>
                <w:szCs w:val="20"/>
              </w:rPr>
              <w:t>Memfasilitasi Legal Aspek KSO Baru dan perpanjangan</w:t>
            </w:r>
          </w:p>
          <w:p>
            <w:pPr>
              <w:pStyle w:val="28"/>
              <w:numPr>
                <w:ilvl w:val="0"/>
                <w:numId w:val="44"/>
              </w:numPr>
              <w:spacing w:line="240" w:lineRule="auto"/>
              <w:ind w:left="288" w:hanging="288"/>
              <w:rPr>
                <w:sz w:val="20"/>
                <w:szCs w:val="20"/>
              </w:rPr>
            </w:pPr>
            <w:r>
              <w:rPr>
                <w:sz w:val="20"/>
                <w:szCs w:val="20"/>
              </w:rPr>
              <w:t>Koordinasi pihak terkait</w:t>
            </w:r>
          </w:p>
          <w:p>
            <w:pPr>
              <w:pStyle w:val="28"/>
              <w:numPr>
                <w:ilvl w:val="0"/>
                <w:numId w:val="44"/>
              </w:numPr>
              <w:spacing w:line="240" w:lineRule="auto"/>
              <w:ind w:left="288" w:hanging="288"/>
              <w:rPr>
                <w:sz w:val="20"/>
                <w:szCs w:val="20"/>
              </w:rPr>
            </w:pPr>
            <w:r>
              <w:rPr>
                <w:sz w:val="20"/>
                <w:szCs w:val="20"/>
              </w:rPr>
              <w:t>Penyusunan draft Perjanjian</w:t>
            </w:r>
          </w:p>
          <w:p>
            <w:pPr>
              <w:pStyle w:val="28"/>
              <w:numPr>
                <w:ilvl w:val="0"/>
                <w:numId w:val="44"/>
              </w:numPr>
              <w:spacing w:line="240" w:lineRule="auto"/>
              <w:ind w:left="288" w:hanging="288"/>
              <w:rPr>
                <w:sz w:val="20"/>
                <w:szCs w:val="20"/>
              </w:rPr>
            </w:pPr>
            <w:r>
              <w:rPr>
                <w:sz w:val="20"/>
                <w:szCs w:val="20"/>
              </w:rPr>
              <w:t>Kajian draft Perjanjian</w:t>
            </w:r>
          </w:p>
          <w:p>
            <w:pPr>
              <w:pStyle w:val="28"/>
              <w:numPr>
                <w:ilvl w:val="0"/>
                <w:numId w:val="44"/>
              </w:numPr>
              <w:spacing w:after="0" w:line="240" w:lineRule="auto"/>
              <w:ind w:left="289" w:hanging="289"/>
              <w:contextualSpacing w:val="0"/>
              <w:rPr>
                <w:sz w:val="20"/>
                <w:szCs w:val="20"/>
              </w:rPr>
            </w:pPr>
            <w:r>
              <w:rPr>
                <w:sz w:val="20"/>
                <w:szCs w:val="20"/>
              </w:rPr>
              <w:t>Finalisasi Naskah Perjanjian</w:t>
            </w:r>
          </w:p>
        </w:tc>
        <w:tc>
          <w:tcPr>
            <w:tcW w:w="2410" w:type="dxa"/>
            <w:shd w:val="clear" w:color="auto" w:fill="auto"/>
          </w:tcPr>
          <w:p>
            <w:pPr>
              <w:spacing w:after="0" w:line="240" w:lineRule="auto"/>
              <w:rPr>
                <w:sz w:val="20"/>
                <w:szCs w:val="20"/>
              </w:rPr>
            </w:pPr>
            <w:r>
              <w:rPr>
                <w:sz w:val="20"/>
                <w:szCs w:val="20"/>
              </w:rPr>
              <w:t>Evaluasi alat kesehatan yang sudah ada (koordinasi dengan Direktorat Medik dan Keperawatan)</w:t>
            </w:r>
          </w:p>
          <w:p>
            <w:pPr>
              <w:pStyle w:val="28"/>
              <w:numPr>
                <w:ilvl w:val="0"/>
                <w:numId w:val="45"/>
              </w:numPr>
              <w:spacing w:line="240" w:lineRule="auto"/>
              <w:ind w:left="288" w:hanging="288"/>
              <w:rPr>
                <w:sz w:val="20"/>
                <w:szCs w:val="20"/>
              </w:rPr>
            </w:pPr>
            <w:r>
              <w:rPr>
                <w:sz w:val="20"/>
                <w:szCs w:val="20"/>
              </w:rPr>
              <w:t>Rapat Tim Evaluasi PKS  dan pihak/unit terkait</w:t>
            </w:r>
          </w:p>
          <w:p>
            <w:pPr>
              <w:spacing w:after="0" w:line="240" w:lineRule="auto"/>
              <w:rPr>
                <w:sz w:val="20"/>
                <w:szCs w:val="20"/>
              </w:rPr>
            </w:pPr>
            <w:r>
              <w:rPr>
                <w:sz w:val="20"/>
                <w:szCs w:val="20"/>
              </w:rPr>
              <w:t>Memfasilitasi Legal Aspek KSO Baru dan perpanjangan</w:t>
            </w:r>
          </w:p>
          <w:p>
            <w:pPr>
              <w:pStyle w:val="28"/>
              <w:numPr>
                <w:ilvl w:val="0"/>
                <w:numId w:val="45"/>
              </w:numPr>
              <w:spacing w:line="240" w:lineRule="auto"/>
              <w:ind w:left="288" w:hanging="288"/>
              <w:rPr>
                <w:sz w:val="20"/>
                <w:szCs w:val="20"/>
              </w:rPr>
            </w:pPr>
            <w:r>
              <w:rPr>
                <w:sz w:val="20"/>
                <w:szCs w:val="20"/>
              </w:rPr>
              <w:t>Koordinasi pihak terkait</w:t>
            </w:r>
          </w:p>
          <w:p>
            <w:pPr>
              <w:pStyle w:val="28"/>
              <w:numPr>
                <w:ilvl w:val="0"/>
                <w:numId w:val="45"/>
              </w:numPr>
              <w:spacing w:line="240" w:lineRule="auto"/>
              <w:ind w:left="288" w:hanging="288"/>
              <w:rPr>
                <w:sz w:val="20"/>
                <w:szCs w:val="20"/>
              </w:rPr>
            </w:pPr>
            <w:r>
              <w:rPr>
                <w:sz w:val="20"/>
                <w:szCs w:val="20"/>
              </w:rPr>
              <w:t>Penyusunan draft Perjanjian</w:t>
            </w:r>
          </w:p>
          <w:p>
            <w:pPr>
              <w:pStyle w:val="28"/>
              <w:numPr>
                <w:ilvl w:val="0"/>
                <w:numId w:val="45"/>
              </w:numPr>
              <w:spacing w:line="240" w:lineRule="auto"/>
              <w:ind w:left="288" w:hanging="288"/>
              <w:rPr>
                <w:sz w:val="20"/>
                <w:szCs w:val="20"/>
              </w:rPr>
            </w:pPr>
            <w:r>
              <w:rPr>
                <w:sz w:val="20"/>
                <w:szCs w:val="20"/>
              </w:rPr>
              <w:t>Kajian draft Perjanjian</w:t>
            </w:r>
          </w:p>
          <w:p>
            <w:pPr>
              <w:pStyle w:val="28"/>
              <w:numPr>
                <w:ilvl w:val="0"/>
                <w:numId w:val="45"/>
              </w:numPr>
              <w:spacing w:line="240" w:lineRule="auto"/>
              <w:ind w:left="288" w:hanging="288"/>
              <w:rPr>
                <w:sz w:val="20"/>
                <w:szCs w:val="20"/>
              </w:rPr>
            </w:pPr>
            <w:r>
              <w:rPr>
                <w:sz w:val="20"/>
                <w:szCs w:val="20"/>
              </w:rPr>
              <w:t>Finalisasi Naskah Perjanjian</w:t>
            </w:r>
          </w:p>
        </w:tc>
        <w:tc>
          <w:tcPr>
            <w:tcW w:w="2552" w:type="dxa"/>
            <w:shd w:val="clear" w:color="auto" w:fill="auto"/>
          </w:tcPr>
          <w:p>
            <w:pPr>
              <w:spacing w:after="0" w:line="240" w:lineRule="auto"/>
              <w:rPr>
                <w:sz w:val="20"/>
                <w:szCs w:val="20"/>
              </w:rPr>
            </w:pPr>
            <w:r>
              <w:rPr>
                <w:sz w:val="20"/>
                <w:szCs w:val="20"/>
              </w:rPr>
              <w:t>Pemetaan alat kesehatan yang dibutuhkan (koordinasi dengan Direktorat Medik dan Keperawatan)</w:t>
            </w:r>
          </w:p>
          <w:p>
            <w:pPr>
              <w:pStyle w:val="28"/>
              <w:numPr>
                <w:ilvl w:val="0"/>
                <w:numId w:val="45"/>
              </w:numPr>
              <w:spacing w:after="0" w:line="240" w:lineRule="auto"/>
              <w:ind w:left="288" w:hanging="288"/>
              <w:contextualSpacing w:val="0"/>
              <w:rPr>
                <w:sz w:val="20"/>
                <w:szCs w:val="20"/>
              </w:rPr>
            </w:pPr>
            <w:r>
              <w:rPr>
                <w:sz w:val="20"/>
                <w:szCs w:val="20"/>
              </w:rPr>
              <w:t>Workshop (Laboratorium Patologi Klinik, Hemodialisa, Radiologi, Radiotherapi, Kedokteran Nuklir)</w:t>
            </w:r>
          </w:p>
          <w:p>
            <w:pPr>
              <w:pStyle w:val="28"/>
              <w:numPr>
                <w:ilvl w:val="0"/>
                <w:numId w:val="45"/>
              </w:numPr>
              <w:spacing w:after="0" w:line="240" w:lineRule="auto"/>
              <w:ind w:left="288" w:hanging="288"/>
              <w:contextualSpacing w:val="0"/>
              <w:rPr>
                <w:sz w:val="20"/>
                <w:szCs w:val="20"/>
              </w:rPr>
            </w:pPr>
            <w:r>
              <w:rPr>
                <w:sz w:val="20"/>
                <w:szCs w:val="20"/>
              </w:rPr>
              <w:t>Penentuan skala prioritas (layanan unggulan)</w:t>
            </w:r>
          </w:p>
          <w:p>
            <w:pPr>
              <w:spacing w:after="0" w:line="240" w:lineRule="auto"/>
              <w:rPr>
                <w:sz w:val="20"/>
                <w:szCs w:val="20"/>
              </w:rPr>
            </w:pPr>
          </w:p>
          <w:p>
            <w:pPr>
              <w:spacing w:after="0" w:line="240" w:lineRule="auto"/>
              <w:rPr>
                <w:sz w:val="20"/>
                <w:szCs w:val="20"/>
              </w:rPr>
            </w:pPr>
            <w:r>
              <w:rPr>
                <w:sz w:val="20"/>
                <w:szCs w:val="20"/>
              </w:rPr>
              <w:t>Evaluasi alat kesehatan yang sudah ada (koordinasi dengan Direktorat Medik dan Keperawatan)</w:t>
            </w:r>
          </w:p>
          <w:p>
            <w:pPr>
              <w:pStyle w:val="28"/>
              <w:numPr>
                <w:ilvl w:val="0"/>
                <w:numId w:val="46"/>
              </w:numPr>
              <w:spacing w:after="0" w:line="240" w:lineRule="auto"/>
              <w:ind w:left="288" w:hanging="288"/>
              <w:contextualSpacing w:val="0"/>
              <w:rPr>
                <w:sz w:val="20"/>
                <w:szCs w:val="20"/>
              </w:rPr>
            </w:pPr>
            <w:r>
              <w:rPr>
                <w:sz w:val="20"/>
                <w:szCs w:val="20"/>
              </w:rPr>
              <w:t xml:space="preserve">Rapat Tim Evaluasi PKS </w:t>
            </w:r>
          </w:p>
          <w:p>
            <w:pPr>
              <w:spacing w:after="0" w:line="240" w:lineRule="auto"/>
              <w:rPr>
                <w:sz w:val="20"/>
                <w:szCs w:val="20"/>
              </w:rPr>
            </w:pPr>
            <w:r>
              <w:rPr>
                <w:sz w:val="20"/>
                <w:szCs w:val="20"/>
              </w:rPr>
              <w:t>Memfasilitasi Legal Aspek KSO Baru dan perpanjangan</w:t>
            </w:r>
          </w:p>
          <w:p>
            <w:pPr>
              <w:pStyle w:val="28"/>
              <w:numPr>
                <w:ilvl w:val="0"/>
                <w:numId w:val="46"/>
              </w:numPr>
              <w:spacing w:after="0" w:line="240" w:lineRule="auto"/>
              <w:ind w:left="288" w:hanging="288"/>
              <w:contextualSpacing w:val="0"/>
              <w:rPr>
                <w:sz w:val="20"/>
                <w:szCs w:val="20"/>
              </w:rPr>
            </w:pPr>
            <w:r>
              <w:rPr>
                <w:sz w:val="20"/>
                <w:szCs w:val="20"/>
              </w:rPr>
              <w:t>Koordinasi pihak terkait</w:t>
            </w:r>
          </w:p>
          <w:p>
            <w:pPr>
              <w:pStyle w:val="28"/>
              <w:numPr>
                <w:ilvl w:val="0"/>
                <w:numId w:val="46"/>
              </w:numPr>
              <w:spacing w:after="0" w:line="240" w:lineRule="auto"/>
              <w:ind w:left="288" w:hanging="288"/>
              <w:contextualSpacing w:val="0"/>
              <w:rPr>
                <w:sz w:val="20"/>
                <w:szCs w:val="20"/>
              </w:rPr>
            </w:pPr>
            <w:r>
              <w:rPr>
                <w:sz w:val="20"/>
                <w:szCs w:val="20"/>
              </w:rPr>
              <w:t>Penyusunan draft Perjanjian</w:t>
            </w:r>
          </w:p>
          <w:p>
            <w:pPr>
              <w:pStyle w:val="28"/>
              <w:numPr>
                <w:ilvl w:val="0"/>
                <w:numId w:val="46"/>
              </w:numPr>
              <w:spacing w:after="0" w:line="240" w:lineRule="auto"/>
              <w:ind w:left="288" w:hanging="288"/>
              <w:contextualSpacing w:val="0"/>
              <w:rPr>
                <w:sz w:val="20"/>
                <w:szCs w:val="20"/>
              </w:rPr>
            </w:pPr>
            <w:r>
              <w:rPr>
                <w:sz w:val="20"/>
                <w:szCs w:val="20"/>
              </w:rPr>
              <w:t>Kajian draft Perjanjian</w:t>
            </w:r>
          </w:p>
          <w:p>
            <w:pPr>
              <w:pStyle w:val="28"/>
              <w:numPr>
                <w:ilvl w:val="0"/>
                <w:numId w:val="46"/>
              </w:numPr>
              <w:spacing w:after="0" w:line="240" w:lineRule="auto"/>
              <w:ind w:left="288" w:hanging="288"/>
              <w:contextualSpacing w:val="0"/>
              <w:rPr>
                <w:sz w:val="20"/>
                <w:szCs w:val="20"/>
              </w:rPr>
            </w:pPr>
            <w:r>
              <w:rPr>
                <w:sz w:val="20"/>
                <w:szCs w:val="20"/>
              </w:rPr>
              <w:t>Finalisasi Naskah Perjanjian</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12</w:t>
            </w:r>
          </w:p>
        </w:tc>
        <w:tc>
          <w:tcPr>
            <w:tcW w:w="1790" w:type="dxa"/>
            <w:shd w:val="clear" w:color="auto" w:fill="auto"/>
          </w:tcPr>
          <w:p>
            <w:pPr>
              <w:spacing w:line="240" w:lineRule="auto"/>
              <w:rPr>
                <w:color w:val="000000"/>
                <w:sz w:val="20"/>
                <w:szCs w:val="20"/>
              </w:rPr>
            </w:pPr>
            <w:r>
              <w:rPr>
                <w:color w:val="000000"/>
                <w:sz w:val="20"/>
                <w:szCs w:val="20"/>
              </w:rPr>
              <w:t xml:space="preserve">Jumlah PPK (panduan praktek klinik) yang baru yang diimplementasikan di faskes jejaring </w:t>
            </w:r>
          </w:p>
        </w:tc>
        <w:tc>
          <w:tcPr>
            <w:tcW w:w="2551" w:type="dxa"/>
            <w:shd w:val="clear" w:color="auto" w:fill="auto"/>
          </w:tcPr>
          <w:p>
            <w:pPr>
              <w:spacing w:line="240" w:lineRule="auto"/>
              <w:rPr>
                <w:color w:val="000000"/>
                <w:sz w:val="20"/>
                <w:szCs w:val="20"/>
              </w:rPr>
            </w:pPr>
            <w:r>
              <w:rPr>
                <w:color w:val="000000"/>
                <w:sz w:val="20"/>
                <w:szCs w:val="20"/>
              </w:rPr>
              <w:t>Program Intensifikasi Penyusunan Panduan Praktik Klinik (PPK):</w:t>
            </w:r>
          </w:p>
          <w:p>
            <w:pPr>
              <w:numPr>
                <w:ilvl w:val="0"/>
                <w:numId w:val="47"/>
              </w:numPr>
              <w:spacing w:line="240" w:lineRule="auto"/>
              <w:ind w:left="0"/>
              <w:rPr>
                <w:color w:val="000000"/>
                <w:sz w:val="20"/>
                <w:szCs w:val="20"/>
              </w:rPr>
            </w:pPr>
            <w:r>
              <w:rPr>
                <w:color w:val="000000"/>
                <w:sz w:val="20"/>
                <w:szCs w:val="20"/>
              </w:rPr>
              <w:t>Workshop pemetaan kebutuhan 5 PPKRSHS @ Rp 15 juta</w:t>
            </w:r>
          </w:p>
          <w:p>
            <w:pPr>
              <w:numPr>
                <w:ilvl w:val="0"/>
                <w:numId w:val="47"/>
              </w:numPr>
              <w:spacing w:line="240" w:lineRule="auto"/>
              <w:ind w:left="0"/>
              <w:rPr>
                <w:color w:val="000000"/>
                <w:sz w:val="20"/>
                <w:szCs w:val="20"/>
              </w:rPr>
            </w:pPr>
            <w:r>
              <w:rPr>
                <w:color w:val="000000"/>
                <w:sz w:val="20"/>
                <w:szCs w:val="20"/>
              </w:rPr>
              <w:t>Workshop penyusunan PPK RSHS (5 PPK/tahun; @ Rp 15 juta)</w:t>
            </w:r>
          </w:p>
          <w:p>
            <w:pPr>
              <w:numPr>
                <w:ilvl w:val="0"/>
                <w:numId w:val="47"/>
              </w:numPr>
              <w:spacing w:line="240" w:lineRule="auto"/>
              <w:ind w:left="0"/>
              <w:rPr>
                <w:color w:val="000000"/>
                <w:sz w:val="20"/>
                <w:szCs w:val="20"/>
              </w:rPr>
            </w:pPr>
            <w:r>
              <w:rPr>
                <w:color w:val="000000"/>
                <w:sz w:val="20"/>
                <w:szCs w:val="20"/>
              </w:rPr>
              <w:t>Monev implementasi 5 PPK RSHS</w:t>
            </w:r>
          </w:p>
          <w:p>
            <w:pPr>
              <w:numPr>
                <w:ilvl w:val="0"/>
                <w:numId w:val="47"/>
              </w:numPr>
              <w:spacing w:line="240" w:lineRule="auto"/>
              <w:ind w:left="0"/>
              <w:rPr>
                <w:color w:val="000000"/>
                <w:sz w:val="20"/>
                <w:szCs w:val="20"/>
              </w:rPr>
            </w:pPr>
            <w:r>
              <w:rPr>
                <w:color w:val="000000"/>
                <w:sz w:val="20"/>
                <w:szCs w:val="20"/>
              </w:rPr>
              <w:t>Penyusunan rencana kerja &amp; anggaran</w:t>
            </w:r>
          </w:p>
        </w:tc>
        <w:tc>
          <w:tcPr>
            <w:tcW w:w="2552" w:type="dxa"/>
            <w:shd w:val="clear" w:color="auto" w:fill="auto"/>
          </w:tcPr>
          <w:p>
            <w:pPr>
              <w:spacing w:after="0" w:line="240" w:lineRule="auto"/>
              <w:rPr>
                <w:sz w:val="20"/>
                <w:szCs w:val="20"/>
              </w:rPr>
            </w:pPr>
            <w:r>
              <w:rPr>
                <w:sz w:val="20"/>
                <w:szCs w:val="20"/>
              </w:rPr>
              <w:t>Program Intensifikasi Penyusunan Panduan Praktik Klinik (PPK):</w:t>
            </w:r>
          </w:p>
          <w:p>
            <w:pPr>
              <w:numPr>
                <w:ilvl w:val="0"/>
                <w:numId w:val="48"/>
              </w:numPr>
              <w:spacing w:line="240" w:lineRule="auto"/>
              <w:ind w:left="288" w:hanging="288"/>
              <w:contextualSpacing/>
              <w:rPr>
                <w:sz w:val="20"/>
                <w:szCs w:val="20"/>
              </w:rPr>
            </w:pPr>
            <w:r>
              <w:rPr>
                <w:sz w:val="20"/>
                <w:szCs w:val="20"/>
              </w:rPr>
              <w:t>Workshop pemetaan kebutuhan PPK RSHS &amp;7 RS Jejaring (5 PPK/tahun @ Rp 15 juta)</w:t>
            </w:r>
          </w:p>
          <w:p>
            <w:pPr>
              <w:numPr>
                <w:ilvl w:val="0"/>
                <w:numId w:val="48"/>
              </w:numPr>
              <w:spacing w:line="240" w:lineRule="auto"/>
              <w:ind w:left="288" w:hanging="288"/>
              <w:contextualSpacing/>
              <w:rPr>
                <w:sz w:val="20"/>
                <w:szCs w:val="20"/>
              </w:rPr>
            </w:pPr>
            <w:r>
              <w:rPr>
                <w:sz w:val="20"/>
                <w:szCs w:val="20"/>
              </w:rPr>
              <w:t>Workshop penyusunan PPK RSHS &amp; 7 RS Jejaring (5 PPK/tahun @ Rp 15 juta)</w:t>
            </w:r>
          </w:p>
          <w:p>
            <w:pPr>
              <w:numPr>
                <w:ilvl w:val="0"/>
                <w:numId w:val="48"/>
              </w:numPr>
              <w:spacing w:line="240" w:lineRule="auto"/>
              <w:ind w:left="288" w:hanging="288"/>
              <w:contextualSpacing/>
              <w:rPr>
                <w:sz w:val="20"/>
                <w:szCs w:val="20"/>
              </w:rPr>
            </w:pPr>
            <w:r>
              <w:rPr>
                <w:sz w:val="20"/>
                <w:szCs w:val="20"/>
              </w:rPr>
              <w:t>Monev implementasi PPK RSHS &amp; 7 RS Jejaring</w:t>
            </w:r>
          </w:p>
          <w:p>
            <w:pPr>
              <w:spacing w:line="240" w:lineRule="auto"/>
              <w:ind w:right="51"/>
              <w:rPr>
                <w:sz w:val="20"/>
                <w:szCs w:val="20"/>
              </w:rPr>
            </w:pPr>
          </w:p>
        </w:tc>
        <w:tc>
          <w:tcPr>
            <w:tcW w:w="2409" w:type="dxa"/>
            <w:shd w:val="clear" w:color="auto" w:fill="auto"/>
          </w:tcPr>
          <w:p>
            <w:pPr>
              <w:spacing w:after="0" w:line="240" w:lineRule="auto"/>
              <w:rPr>
                <w:sz w:val="20"/>
                <w:szCs w:val="20"/>
              </w:rPr>
            </w:pPr>
            <w:r>
              <w:rPr>
                <w:sz w:val="20"/>
                <w:szCs w:val="20"/>
              </w:rPr>
              <w:t>Program Intensifikasi Penyusunan Panduan Praktik Klinik (PPK):</w:t>
            </w:r>
          </w:p>
          <w:p>
            <w:pPr>
              <w:numPr>
                <w:ilvl w:val="0"/>
                <w:numId w:val="49"/>
              </w:numPr>
              <w:spacing w:line="240" w:lineRule="auto"/>
              <w:ind w:left="288" w:hanging="288"/>
              <w:contextualSpacing/>
              <w:rPr>
                <w:sz w:val="20"/>
                <w:szCs w:val="20"/>
              </w:rPr>
            </w:pPr>
            <w:r>
              <w:rPr>
                <w:sz w:val="20"/>
                <w:szCs w:val="20"/>
              </w:rPr>
              <w:t>Workshop pemetaan kebutuhan PPK RSHS &amp; 7 RS Jejaring (5 PPK/tahun @ Rp 15 juta)</w:t>
            </w:r>
          </w:p>
          <w:p>
            <w:pPr>
              <w:numPr>
                <w:ilvl w:val="0"/>
                <w:numId w:val="49"/>
              </w:numPr>
              <w:spacing w:line="240" w:lineRule="auto"/>
              <w:ind w:left="288" w:hanging="288"/>
              <w:contextualSpacing/>
              <w:rPr>
                <w:sz w:val="20"/>
                <w:szCs w:val="20"/>
              </w:rPr>
            </w:pPr>
            <w:r>
              <w:rPr>
                <w:sz w:val="20"/>
                <w:szCs w:val="20"/>
              </w:rPr>
              <w:t>Workshop penyusunan PPK RSHS &amp; 7 RS Jejaring (5 PPK/tahun @ Rp 15 juta)</w:t>
            </w:r>
          </w:p>
          <w:p>
            <w:pPr>
              <w:numPr>
                <w:ilvl w:val="0"/>
                <w:numId w:val="49"/>
              </w:numPr>
              <w:spacing w:line="240" w:lineRule="auto"/>
              <w:ind w:left="288" w:hanging="288"/>
              <w:contextualSpacing/>
              <w:rPr>
                <w:sz w:val="20"/>
                <w:szCs w:val="20"/>
              </w:rPr>
            </w:pPr>
            <w:r>
              <w:rPr>
                <w:sz w:val="20"/>
                <w:szCs w:val="20"/>
              </w:rPr>
              <w:t>Monev implementasi PPK RSHS &amp; 7 RS Jejaring</w:t>
            </w:r>
          </w:p>
          <w:p>
            <w:pPr>
              <w:spacing w:line="240" w:lineRule="auto"/>
              <w:ind w:right="-54"/>
              <w:rPr>
                <w:sz w:val="20"/>
                <w:szCs w:val="20"/>
              </w:rPr>
            </w:pPr>
          </w:p>
        </w:tc>
        <w:tc>
          <w:tcPr>
            <w:tcW w:w="2410" w:type="dxa"/>
            <w:shd w:val="clear" w:color="auto" w:fill="auto"/>
          </w:tcPr>
          <w:p>
            <w:pPr>
              <w:spacing w:after="0" w:line="240" w:lineRule="auto"/>
              <w:rPr>
                <w:sz w:val="20"/>
                <w:szCs w:val="20"/>
              </w:rPr>
            </w:pPr>
            <w:r>
              <w:rPr>
                <w:sz w:val="20"/>
                <w:szCs w:val="20"/>
              </w:rPr>
              <w:t>Program Intensifikasi Penyusunan Panduan Praktik Klinik (PPK):</w:t>
            </w:r>
          </w:p>
          <w:p>
            <w:pPr>
              <w:numPr>
                <w:ilvl w:val="0"/>
                <w:numId w:val="49"/>
              </w:numPr>
              <w:spacing w:line="240" w:lineRule="auto"/>
              <w:ind w:left="288" w:hanging="288"/>
              <w:contextualSpacing/>
              <w:rPr>
                <w:sz w:val="20"/>
                <w:szCs w:val="20"/>
              </w:rPr>
            </w:pPr>
            <w:r>
              <w:rPr>
                <w:sz w:val="20"/>
                <w:szCs w:val="20"/>
              </w:rPr>
              <w:t>Workshop pemetaan kebutuhan PPK RSHS &amp; 7 RS Jejaring (5 PPK/tahun @ Rp 15 juta)</w:t>
            </w:r>
          </w:p>
          <w:p>
            <w:pPr>
              <w:numPr>
                <w:ilvl w:val="0"/>
                <w:numId w:val="49"/>
              </w:numPr>
              <w:spacing w:line="240" w:lineRule="auto"/>
              <w:ind w:left="288" w:hanging="288"/>
              <w:contextualSpacing/>
              <w:rPr>
                <w:sz w:val="20"/>
                <w:szCs w:val="20"/>
              </w:rPr>
            </w:pPr>
            <w:r>
              <w:rPr>
                <w:sz w:val="20"/>
                <w:szCs w:val="20"/>
              </w:rPr>
              <w:t>Workshop penyusunan PPK RSHS &amp; 7 RS Jejaring (5 PPK/tahun @ Rp 15 juta)</w:t>
            </w:r>
          </w:p>
          <w:p>
            <w:pPr>
              <w:numPr>
                <w:ilvl w:val="0"/>
                <w:numId w:val="49"/>
              </w:numPr>
              <w:spacing w:line="240" w:lineRule="auto"/>
              <w:ind w:left="288" w:hanging="288"/>
              <w:contextualSpacing/>
              <w:rPr>
                <w:sz w:val="20"/>
                <w:szCs w:val="20"/>
              </w:rPr>
            </w:pPr>
            <w:r>
              <w:rPr>
                <w:sz w:val="20"/>
                <w:szCs w:val="20"/>
              </w:rPr>
              <w:t>Monev implementasi PPK RSHS &amp; 7 RS Jejaring</w:t>
            </w:r>
          </w:p>
        </w:tc>
        <w:tc>
          <w:tcPr>
            <w:tcW w:w="2552" w:type="dxa"/>
            <w:shd w:val="clear" w:color="auto" w:fill="auto"/>
          </w:tcPr>
          <w:p>
            <w:pPr>
              <w:spacing w:after="0" w:line="240" w:lineRule="auto"/>
              <w:rPr>
                <w:sz w:val="20"/>
                <w:szCs w:val="20"/>
              </w:rPr>
            </w:pPr>
            <w:r>
              <w:rPr>
                <w:sz w:val="20"/>
                <w:szCs w:val="20"/>
              </w:rPr>
              <w:t>Program Intensifikasi Penyusunan Panduan Praktik Klinik (PPK):</w:t>
            </w:r>
          </w:p>
          <w:p>
            <w:pPr>
              <w:numPr>
                <w:ilvl w:val="0"/>
                <w:numId w:val="49"/>
              </w:numPr>
              <w:spacing w:line="240" w:lineRule="auto"/>
              <w:ind w:left="360"/>
              <w:contextualSpacing/>
              <w:rPr>
                <w:sz w:val="20"/>
                <w:szCs w:val="20"/>
              </w:rPr>
            </w:pPr>
            <w:r>
              <w:rPr>
                <w:sz w:val="20"/>
                <w:szCs w:val="20"/>
              </w:rPr>
              <w:t>Workshop pemetaan kebutuhan PPK RSHS &amp; 7 RS Jejaring (5 PPK/tahun @ Rp 15 juta)</w:t>
            </w:r>
          </w:p>
          <w:p>
            <w:pPr>
              <w:numPr>
                <w:ilvl w:val="0"/>
                <w:numId w:val="49"/>
              </w:numPr>
              <w:spacing w:line="240" w:lineRule="auto"/>
              <w:ind w:left="360"/>
              <w:contextualSpacing/>
              <w:rPr>
                <w:sz w:val="20"/>
                <w:szCs w:val="20"/>
              </w:rPr>
            </w:pPr>
            <w:r>
              <w:rPr>
                <w:sz w:val="20"/>
                <w:szCs w:val="20"/>
              </w:rPr>
              <w:t>Workshop penyusunan PPK RSHS &amp; 7 RS Jejaring (5 PPK/tahun @ Rp 15 juta)</w:t>
            </w:r>
          </w:p>
          <w:p>
            <w:pPr>
              <w:numPr>
                <w:ilvl w:val="0"/>
                <w:numId w:val="49"/>
              </w:numPr>
              <w:spacing w:line="240" w:lineRule="auto"/>
              <w:ind w:left="360"/>
              <w:contextualSpacing/>
              <w:rPr>
                <w:sz w:val="20"/>
                <w:szCs w:val="20"/>
              </w:rPr>
            </w:pPr>
            <w:r>
              <w:rPr>
                <w:sz w:val="20"/>
                <w:szCs w:val="20"/>
              </w:rPr>
              <w:t xml:space="preserve">Monev implementasi PPK RSHS &amp; 7 RS Jejaring </w:t>
            </w:r>
          </w:p>
          <w:p>
            <w:pPr>
              <w:numPr>
                <w:ilvl w:val="0"/>
                <w:numId w:val="49"/>
              </w:numPr>
              <w:spacing w:line="240" w:lineRule="auto"/>
              <w:ind w:left="360"/>
              <w:contextualSpacing/>
              <w:rPr>
                <w:sz w:val="20"/>
                <w:szCs w:val="20"/>
              </w:rPr>
            </w:pPr>
            <w:r>
              <w:rPr>
                <w:sz w:val="20"/>
                <w:szCs w:val="20"/>
              </w:rPr>
              <w:t>Workshop evaluasi implementasi PPK (2 kegiatan @ Rp 15 juta)</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line="240" w:lineRule="auto"/>
              <w:rPr>
                <w:color w:val="000000"/>
                <w:sz w:val="20"/>
                <w:szCs w:val="20"/>
              </w:rPr>
            </w:pPr>
            <w:r>
              <w:rPr>
                <w:color w:val="000000"/>
                <w:sz w:val="20"/>
                <w:szCs w:val="20"/>
              </w:rPr>
              <w:t>13</w:t>
            </w:r>
          </w:p>
        </w:tc>
        <w:tc>
          <w:tcPr>
            <w:tcW w:w="1790" w:type="dxa"/>
            <w:shd w:val="clear" w:color="auto" w:fill="auto"/>
          </w:tcPr>
          <w:p>
            <w:pPr>
              <w:spacing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%Kepatuhan CP yang sejalan dengan kurikulum pendidikan</w:t>
            </w:r>
          </w:p>
        </w:tc>
        <w:tc>
          <w:tcPr>
            <w:tcW w:w="2551" w:type="dxa"/>
            <w:shd w:val="clear" w:color="auto" w:fill="auto"/>
          </w:tcPr>
          <w:p>
            <w:pPr>
              <w:spacing w:after="0" w:line="240" w:lineRule="auto"/>
              <w:rPr>
                <w:bCs/>
                <w:color w:val="000000" w:themeColor="text1"/>
                <w:sz w:val="20"/>
                <w:szCs w:val="20"/>
                <w:lang w:val="id-ID"/>
                <w14:textFill>
                  <w14:solidFill>
                    <w14:schemeClr w14:val="tx1"/>
                  </w14:solidFill>
                </w14:textFill>
              </w:rPr>
            </w:pPr>
            <w:r>
              <w:rPr>
                <w:bCs/>
                <w:color w:val="000000" w:themeColor="text1"/>
                <w:sz w:val="20"/>
                <w:szCs w:val="20"/>
                <w:lang w:val="id-ID"/>
                <w14:textFill>
                  <w14:solidFill>
                    <w14:schemeClr w14:val="tx1"/>
                  </w14:solidFill>
                </w14:textFill>
              </w:rPr>
              <w:t xml:space="preserve">Program peningkatan persentase Kepatuhan </w:t>
            </w:r>
          </w:p>
          <w:p>
            <w:pPr>
              <w:spacing w:after="0" w:line="240" w:lineRule="auto"/>
              <w:rPr>
                <w:color w:val="000000" w:themeColor="text1"/>
                <w:sz w:val="20"/>
                <w:szCs w:val="20"/>
                <w14:textFill>
                  <w14:solidFill>
                    <w14:schemeClr w14:val="tx1"/>
                  </w14:solidFill>
                </w14:textFill>
              </w:rPr>
            </w:pPr>
            <w:r>
              <w:rPr>
                <w:bCs/>
                <w:color w:val="000000" w:themeColor="text1"/>
                <w:sz w:val="20"/>
                <w:szCs w:val="20"/>
                <w:lang w:val="id-ID"/>
                <w14:textFill>
                  <w14:solidFill>
                    <w14:schemeClr w14:val="tx1"/>
                  </w14:solidFill>
                </w14:textFill>
              </w:rPr>
              <w:t>Clinical Pathway yang sejalan kurikulum pendidikan mencapai 40%</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Penyusunan Clinical Pathway </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rutin penyusunan clinical pathway setiap minggu</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Penyediaan Format Clinical Pathway</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koordinasi dengan RS-RS dan Dinas Kesehatan ( per triwulan)</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Road show Clinical Pathway</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Implementasi CP</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Sosialisasi</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Monitoring evaluasi implementasi Clinical Pathway</w:t>
            </w:r>
          </w:p>
        </w:tc>
        <w:tc>
          <w:tcPr>
            <w:tcW w:w="2552" w:type="dxa"/>
            <w:shd w:val="clear" w:color="auto" w:fill="auto"/>
          </w:tcPr>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Program peningkatan persentase Kepatuhan Clinical Pathway yang sejalan kurikulum pendidikan mencapai 50%</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Penyusunan Clinical Pathway </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rutin penyusunan clinical pathway setiap minggu</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Penyediaan Format Clinical Pathway</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koordinasi dengan RS-RS dan Dinas Kesehatan ( per triwulan)</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Road show Clinical Pathway</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Implementasi CP</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Sosialisasi</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Monitoring evaluasi implementasi Clinical Pathway</w:t>
            </w:r>
          </w:p>
        </w:tc>
        <w:tc>
          <w:tcPr>
            <w:tcW w:w="2409" w:type="dxa"/>
            <w:shd w:val="clear" w:color="auto" w:fill="auto"/>
          </w:tcPr>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Program peningkatan persentase Kepatuhan Clinical Pathway yang sejalan kurikulum pendidikan mencapai 60%</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Penyusunan Clinical Pathway </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rutin penyusunan clinical pathway setiap minggu</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Penyediaan Format Clinical Pathway</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koordinasi dengan RS-RS dan Dinas Kesehatan ( per triwulan)</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Road show Clinical Pathway</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 Implementasi CP</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Sosialisasi</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Monitoring evaluasi implementasi Clinical Pathway</w:t>
            </w:r>
          </w:p>
        </w:tc>
        <w:tc>
          <w:tcPr>
            <w:tcW w:w="2410" w:type="dxa"/>
            <w:shd w:val="clear" w:color="auto" w:fill="auto"/>
          </w:tcPr>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Program peningkatan persentase Kepatuhan Clinical Pathway yang sejalan kurikulum pendidikan mencapai 75%</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Penyusunan Clinical Pathway </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rutin penyusunan clinical pathway setiap minggu</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Penyediaan Format Clinical Pathway</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koordinasi dengan RS-RS dan Dinas Kesehatan ( per triwulan)</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Road show Clinical Pathway</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Implementasi CP</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Sosialisasi</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Monitoring evaluasi implementasi Clinical Pathway</w:t>
            </w:r>
          </w:p>
        </w:tc>
        <w:tc>
          <w:tcPr>
            <w:tcW w:w="2552" w:type="dxa"/>
            <w:shd w:val="clear" w:color="auto" w:fill="auto"/>
          </w:tcPr>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Program peningkatan persentase Kepatuhan Clinical Pathway yang sejalan kurikulum pendidikan mencapai 90%</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 xml:space="preserve">Penyusunan Clinical Pathway </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rutin penyusunan clinical pathway setiap minggu</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Penyediaan Format Clinical Pathway</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Pertemuan koordinasi dengan RS-RS dan Dinas Kesehatan ( per triwulan)</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Road show Clinical Pathway</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Implementasi CP</w:t>
            </w:r>
          </w:p>
          <w:p>
            <w:pPr>
              <w:spacing w:after="0" w:line="240" w:lineRule="auto"/>
              <w:rPr>
                <w:color w:val="000000" w:themeColor="text1"/>
                <w:sz w:val="20"/>
                <w:szCs w:val="20"/>
                <w14:textFill>
                  <w14:solidFill>
                    <w14:schemeClr w14:val="tx1"/>
                  </w14:solidFill>
                </w14:textFill>
              </w:rPr>
            </w:pP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Sosialisasi</w:t>
            </w:r>
          </w:p>
          <w:p>
            <w:pPr>
              <w:spacing w:after="0" w:line="240" w:lineRule="auto"/>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Monitoring evaluasi implementasi Clinical Pathway</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14</w:t>
            </w:r>
          </w:p>
        </w:tc>
        <w:tc>
          <w:tcPr>
            <w:tcW w:w="1790" w:type="dxa"/>
            <w:shd w:val="clear" w:color="auto" w:fill="auto"/>
          </w:tcPr>
          <w:p>
            <w:pPr>
              <w:spacing w:line="240" w:lineRule="auto"/>
              <w:rPr>
                <w:sz w:val="20"/>
                <w:szCs w:val="20"/>
              </w:rPr>
            </w:pPr>
            <w:r>
              <w:rPr>
                <w:sz w:val="20"/>
                <w:szCs w:val="20"/>
              </w:rPr>
              <w:t>Jumlah publikasi riset translational (nasional dan internasional)</w:t>
            </w:r>
          </w:p>
        </w:tc>
        <w:tc>
          <w:tcPr>
            <w:tcW w:w="2551" w:type="dxa"/>
            <w:shd w:val="clear" w:color="auto" w:fill="auto"/>
          </w:tcPr>
          <w:p>
            <w:pPr>
              <w:spacing w:line="240" w:lineRule="auto"/>
              <w:rPr>
                <w:sz w:val="20"/>
                <w:szCs w:val="20"/>
              </w:rPr>
            </w:pPr>
            <w:r>
              <w:rPr>
                <w:sz w:val="20"/>
                <w:szCs w:val="20"/>
              </w:rPr>
              <w:t>Program Pencapaian 100 Publikasi Riset Translational</w:t>
            </w:r>
          </w:p>
          <w:p>
            <w:pPr>
              <w:pStyle w:val="28"/>
              <w:numPr>
                <w:ilvl w:val="6"/>
                <w:numId w:val="50"/>
              </w:numPr>
              <w:spacing w:line="240" w:lineRule="auto"/>
              <w:ind w:left="0"/>
              <w:rPr>
                <w:sz w:val="20"/>
                <w:szCs w:val="20"/>
              </w:rPr>
            </w:pPr>
            <w:r>
              <w:rPr>
                <w:sz w:val="20"/>
                <w:szCs w:val="20"/>
              </w:rPr>
              <w:t>Penyempurnaan Database (pemilahan jenis riset)</w:t>
            </w:r>
          </w:p>
          <w:p>
            <w:pPr>
              <w:pStyle w:val="28"/>
              <w:numPr>
                <w:ilvl w:val="6"/>
                <w:numId w:val="50"/>
              </w:numPr>
              <w:spacing w:line="240" w:lineRule="auto"/>
              <w:ind w:left="0" w:right="42"/>
              <w:rPr>
                <w:sz w:val="20"/>
                <w:szCs w:val="20"/>
              </w:rPr>
            </w:pPr>
            <w:r>
              <w:rPr>
                <w:sz w:val="20"/>
                <w:szCs w:val="20"/>
              </w:rPr>
              <w:t>Workshop/Seminar</w:t>
            </w:r>
          </w:p>
        </w:tc>
        <w:tc>
          <w:tcPr>
            <w:tcW w:w="2552" w:type="dxa"/>
            <w:shd w:val="clear" w:color="auto" w:fill="auto"/>
          </w:tcPr>
          <w:p>
            <w:pPr>
              <w:spacing w:after="0" w:line="240" w:lineRule="auto"/>
              <w:rPr>
                <w:sz w:val="20"/>
                <w:szCs w:val="20"/>
              </w:rPr>
            </w:pPr>
            <w:r>
              <w:rPr>
                <w:sz w:val="20"/>
                <w:szCs w:val="20"/>
              </w:rPr>
              <w:t>Program Pencapaian 150 Publikasi Riset Translasional</w:t>
            </w:r>
          </w:p>
          <w:p>
            <w:pPr>
              <w:numPr>
                <w:ilvl w:val="0"/>
                <w:numId w:val="51"/>
              </w:numPr>
              <w:spacing w:line="240" w:lineRule="auto"/>
              <w:ind w:left="288" w:hanging="288"/>
              <w:contextualSpacing/>
              <w:rPr>
                <w:sz w:val="20"/>
                <w:szCs w:val="20"/>
              </w:rPr>
            </w:pPr>
            <w:r>
              <w:rPr>
                <w:sz w:val="20"/>
                <w:szCs w:val="20"/>
              </w:rPr>
              <w:t>Workshop/Seminar</w:t>
            </w:r>
          </w:p>
          <w:p>
            <w:pPr>
              <w:numPr>
                <w:ilvl w:val="0"/>
                <w:numId w:val="51"/>
              </w:numPr>
              <w:spacing w:line="240" w:lineRule="auto"/>
              <w:ind w:left="288" w:hanging="288"/>
              <w:contextualSpacing/>
              <w:rPr>
                <w:sz w:val="20"/>
                <w:szCs w:val="20"/>
              </w:rPr>
            </w:pPr>
            <w:r>
              <w:rPr>
                <w:sz w:val="20"/>
                <w:szCs w:val="20"/>
              </w:rPr>
              <w:t>Insentif</w:t>
            </w:r>
          </w:p>
          <w:p>
            <w:pPr>
              <w:numPr>
                <w:ilvl w:val="0"/>
                <w:numId w:val="51"/>
              </w:numPr>
              <w:spacing w:line="240" w:lineRule="auto"/>
              <w:ind w:left="288" w:hanging="288"/>
              <w:contextualSpacing/>
              <w:rPr>
                <w:sz w:val="20"/>
                <w:szCs w:val="20"/>
              </w:rPr>
            </w:pPr>
            <w:r>
              <w:rPr>
                <w:sz w:val="20"/>
                <w:szCs w:val="20"/>
              </w:rPr>
              <w:t>Peningkatan frekuensi terbit Jurnal MKB</w:t>
            </w:r>
          </w:p>
          <w:p>
            <w:pPr>
              <w:numPr>
                <w:ilvl w:val="0"/>
                <w:numId w:val="51"/>
              </w:numPr>
              <w:spacing w:line="240" w:lineRule="auto"/>
              <w:ind w:left="288" w:hanging="288"/>
              <w:contextualSpacing/>
              <w:rPr>
                <w:sz w:val="20"/>
                <w:szCs w:val="20"/>
              </w:rPr>
            </w:pPr>
            <w:r>
              <w:rPr>
                <w:sz w:val="20"/>
                <w:szCs w:val="20"/>
              </w:rPr>
              <w:t>Kerjasama riset</w:t>
            </w:r>
          </w:p>
          <w:p>
            <w:pPr>
              <w:numPr>
                <w:ilvl w:val="0"/>
                <w:numId w:val="51"/>
              </w:numPr>
              <w:spacing w:after="0" w:line="240" w:lineRule="auto"/>
              <w:ind w:left="289" w:hanging="289"/>
              <w:rPr>
                <w:sz w:val="20"/>
                <w:szCs w:val="20"/>
              </w:rPr>
            </w:pPr>
            <w:r>
              <w:rPr>
                <w:sz w:val="20"/>
                <w:szCs w:val="20"/>
              </w:rPr>
              <w:t>Akreditasi jurnal  IJHS</w:t>
            </w:r>
          </w:p>
        </w:tc>
        <w:tc>
          <w:tcPr>
            <w:tcW w:w="2409" w:type="dxa"/>
            <w:shd w:val="clear" w:color="auto" w:fill="auto"/>
          </w:tcPr>
          <w:p>
            <w:pPr>
              <w:pStyle w:val="28"/>
              <w:numPr>
                <w:ilvl w:val="0"/>
                <w:numId w:val="51"/>
              </w:numPr>
              <w:spacing w:after="0" w:line="240" w:lineRule="auto"/>
              <w:ind w:left="288" w:hanging="288"/>
              <w:rPr>
                <w:sz w:val="20"/>
                <w:szCs w:val="20"/>
              </w:rPr>
            </w:pPr>
            <w:r>
              <w:rPr>
                <w:sz w:val="20"/>
                <w:szCs w:val="20"/>
              </w:rPr>
              <w:t>Program Pencapaian 150 Publikasi Riset Translasional</w:t>
            </w:r>
          </w:p>
          <w:p>
            <w:pPr>
              <w:numPr>
                <w:ilvl w:val="0"/>
                <w:numId w:val="51"/>
              </w:numPr>
              <w:spacing w:line="240" w:lineRule="auto"/>
              <w:ind w:left="288" w:hanging="288"/>
              <w:contextualSpacing/>
              <w:rPr>
                <w:sz w:val="20"/>
                <w:szCs w:val="20"/>
              </w:rPr>
            </w:pPr>
            <w:r>
              <w:rPr>
                <w:sz w:val="20"/>
                <w:szCs w:val="20"/>
              </w:rPr>
              <w:t>Workshop/Seminar</w:t>
            </w:r>
          </w:p>
          <w:p>
            <w:pPr>
              <w:numPr>
                <w:ilvl w:val="0"/>
                <w:numId w:val="51"/>
              </w:numPr>
              <w:spacing w:line="240" w:lineRule="auto"/>
              <w:ind w:left="288" w:hanging="288"/>
              <w:contextualSpacing/>
              <w:rPr>
                <w:sz w:val="20"/>
                <w:szCs w:val="20"/>
              </w:rPr>
            </w:pPr>
            <w:r>
              <w:rPr>
                <w:sz w:val="20"/>
                <w:szCs w:val="20"/>
              </w:rPr>
              <w:t>Insentif</w:t>
            </w:r>
          </w:p>
          <w:p>
            <w:pPr>
              <w:numPr>
                <w:ilvl w:val="0"/>
                <w:numId w:val="51"/>
              </w:numPr>
              <w:spacing w:line="240" w:lineRule="auto"/>
              <w:ind w:left="288" w:hanging="288"/>
              <w:contextualSpacing/>
              <w:rPr>
                <w:sz w:val="20"/>
                <w:szCs w:val="20"/>
              </w:rPr>
            </w:pPr>
            <w:r>
              <w:rPr>
                <w:sz w:val="20"/>
                <w:szCs w:val="20"/>
              </w:rPr>
              <w:t>Kerjasama riset</w:t>
            </w:r>
          </w:p>
        </w:tc>
        <w:tc>
          <w:tcPr>
            <w:tcW w:w="2410" w:type="dxa"/>
            <w:shd w:val="clear" w:color="auto" w:fill="auto"/>
          </w:tcPr>
          <w:p>
            <w:pPr>
              <w:spacing w:after="0" w:line="240" w:lineRule="auto"/>
              <w:rPr>
                <w:sz w:val="20"/>
                <w:szCs w:val="20"/>
              </w:rPr>
            </w:pPr>
            <w:r>
              <w:rPr>
                <w:sz w:val="20"/>
                <w:szCs w:val="20"/>
              </w:rPr>
              <w:t>Program Pencapaian 150 Publikasi Riset Translasional</w:t>
            </w:r>
          </w:p>
          <w:p>
            <w:pPr>
              <w:numPr>
                <w:ilvl w:val="0"/>
                <w:numId w:val="51"/>
              </w:numPr>
              <w:spacing w:line="240" w:lineRule="auto"/>
              <w:ind w:left="288" w:hanging="288"/>
              <w:contextualSpacing/>
              <w:rPr>
                <w:sz w:val="20"/>
                <w:szCs w:val="20"/>
              </w:rPr>
            </w:pPr>
            <w:r>
              <w:rPr>
                <w:sz w:val="20"/>
                <w:szCs w:val="20"/>
              </w:rPr>
              <w:t>Workshop/Seminar</w:t>
            </w:r>
          </w:p>
          <w:p>
            <w:pPr>
              <w:numPr>
                <w:ilvl w:val="0"/>
                <w:numId w:val="51"/>
              </w:numPr>
              <w:spacing w:line="240" w:lineRule="auto"/>
              <w:ind w:left="288" w:hanging="288"/>
              <w:contextualSpacing/>
              <w:rPr>
                <w:sz w:val="20"/>
                <w:szCs w:val="20"/>
              </w:rPr>
            </w:pPr>
            <w:r>
              <w:rPr>
                <w:sz w:val="20"/>
                <w:szCs w:val="20"/>
              </w:rPr>
              <w:t>Insentif</w:t>
            </w:r>
          </w:p>
          <w:p>
            <w:pPr>
              <w:numPr>
                <w:ilvl w:val="0"/>
                <w:numId w:val="51"/>
              </w:numPr>
              <w:spacing w:line="240" w:lineRule="auto"/>
              <w:ind w:left="288" w:hanging="288"/>
              <w:contextualSpacing/>
              <w:rPr>
                <w:sz w:val="20"/>
                <w:szCs w:val="20"/>
              </w:rPr>
            </w:pPr>
            <w:r>
              <w:rPr>
                <w:sz w:val="20"/>
                <w:szCs w:val="20"/>
              </w:rPr>
              <w:t>Kerjasama riset</w:t>
            </w:r>
          </w:p>
        </w:tc>
        <w:tc>
          <w:tcPr>
            <w:tcW w:w="2552" w:type="dxa"/>
            <w:shd w:val="clear" w:color="auto" w:fill="auto"/>
          </w:tcPr>
          <w:p>
            <w:pPr>
              <w:spacing w:after="0" w:line="240" w:lineRule="auto"/>
              <w:rPr>
                <w:sz w:val="20"/>
                <w:szCs w:val="20"/>
              </w:rPr>
            </w:pPr>
            <w:r>
              <w:rPr>
                <w:sz w:val="20"/>
                <w:szCs w:val="20"/>
              </w:rPr>
              <w:t>Program Pencapaian 150 Publikasi Riset Translasional</w:t>
            </w:r>
          </w:p>
          <w:p>
            <w:pPr>
              <w:numPr>
                <w:ilvl w:val="0"/>
                <w:numId w:val="51"/>
              </w:numPr>
              <w:spacing w:line="240" w:lineRule="auto"/>
              <w:ind w:left="288" w:hanging="288"/>
              <w:contextualSpacing/>
              <w:rPr>
                <w:sz w:val="20"/>
                <w:szCs w:val="20"/>
              </w:rPr>
            </w:pPr>
            <w:r>
              <w:rPr>
                <w:sz w:val="20"/>
                <w:szCs w:val="20"/>
              </w:rPr>
              <w:t>Workshop/Seminar</w:t>
            </w:r>
          </w:p>
          <w:p>
            <w:pPr>
              <w:numPr>
                <w:ilvl w:val="0"/>
                <w:numId w:val="51"/>
              </w:numPr>
              <w:spacing w:line="240" w:lineRule="auto"/>
              <w:ind w:left="288" w:hanging="288"/>
              <w:contextualSpacing/>
              <w:rPr>
                <w:sz w:val="20"/>
                <w:szCs w:val="20"/>
              </w:rPr>
            </w:pPr>
            <w:r>
              <w:rPr>
                <w:sz w:val="20"/>
                <w:szCs w:val="20"/>
              </w:rPr>
              <w:t>Insentif</w:t>
            </w:r>
          </w:p>
          <w:p>
            <w:pPr>
              <w:numPr>
                <w:ilvl w:val="0"/>
                <w:numId w:val="51"/>
              </w:numPr>
              <w:spacing w:line="240" w:lineRule="auto"/>
              <w:ind w:left="288" w:hanging="288"/>
              <w:contextualSpacing/>
              <w:rPr>
                <w:sz w:val="20"/>
                <w:szCs w:val="20"/>
              </w:rPr>
            </w:pPr>
            <w:r>
              <w:rPr>
                <w:sz w:val="20"/>
                <w:szCs w:val="20"/>
              </w:rPr>
              <w:t>Kerjasama riset</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15</w:t>
            </w:r>
          </w:p>
        </w:tc>
        <w:tc>
          <w:tcPr>
            <w:tcW w:w="1790" w:type="dxa"/>
            <w:shd w:val="clear" w:color="auto" w:fill="auto"/>
          </w:tcPr>
          <w:p>
            <w:pPr>
              <w:spacing w:after="0" w:line="240" w:lineRule="auto"/>
              <w:rPr>
                <w:sz w:val="20"/>
                <w:szCs w:val="20"/>
              </w:rPr>
            </w:pPr>
            <w:r>
              <w:rPr>
                <w:sz w:val="20"/>
                <w:szCs w:val="20"/>
              </w:rPr>
              <w:t>Jumlah SPO bersama RSHS-FKUP yang diimplementasikan</w:t>
            </w:r>
          </w:p>
        </w:tc>
        <w:tc>
          <w:tcPr>
            <w:tcW w:w="2551" w:type="dxa"/>
            <w:shd w:val="clear" w:color="auto" w:fill="auto"/>
          </w:tcPr>
          <w:p>
            <w:pPr>
              <w:spacing w:after="0" w:line="240" w:lineRule="auto"/>
              <w:rPr>
                <w:sz w:val="20"/>
                <w:szCs w:val="20"/>
              </w:rPr>
            </w:pPr>
            <w:r>
              <w:rPr>
                <w:sz w:val="20"/>
                <w:szCs w:val="20"/>
              </w:rPr>
              <w:t>Pemetaan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Workshop/Seminar </w:t>
            </w:r>
          </w:p>
          <w:p>
            <w:pPr>
              <w:spacing w:after="0" w:line="240" w:lineRule="auto"/>
              <w:rPr>
                <w:sz w:val="20"/>
                <w:szCs w:val="20"/>
              </w:rPr>
            </w:pPr>
          </w:p>
          <w:p>
            <w:pPr>
              <w:spacing w:after="0" w:line="240" w:lineRule="auto"/>
              <w:rPr>
                <w:sz w:val="20"/>
                <w:szCs w:val="20"/>
              </w:rPr>
            </w:pPr>
            <w:r>
              <w:rPr>
                <w:sz w:val="20"/>
                <w:szCs w:val="20"/>
              </w:rPr>
              <w:t>Penyusunan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 </w:t>
            </w:r>
          </w:p>
          <w:p>
            <w:pPr>
              <w:spacing w:after="0" w:line="240" w:lineRule="auto"/>
              <w:rPr>
                <w:sz w:val="20"/>
                <w:szCs w:val="20"/>
              </w:rPr>
            </w:pPr>
          </w:p>
          <w:p>
            <w:pPr>
              <w:spacing w:after="0" w:line="240" w:lineRule="auto"/>
              <w:rPr>
                <w:sz w:val="20"/>
                <w:szCs w:val="20"/>
              </w:rPr>
            </w:pPr>
            <w:r>
              <w:rPr>
                <w:sz w:val="20"/>
                <w:szCs w:val="20"/>
              </w:rPr>
              <w:t>Sosialisasi</w:t>
            </w:r>
          </w:p>
          <w:p>
            <w:pPr>
              <w:spacing w:after="0" w:line="240" w:lineRule="auto"/>
              <w:rPr>
                <w:sz w:val="20"/>
                <w:szCs w:val="20"/>
              </w:rPr>
            </w:pPr>
            <w:r>
              <w:rPr>
                <w:sz w:val="20"/>
                <w:szCs w:val="20"/>
              </w:rPr>
              <w:t>Implementasi SPO</w:t>
            </w:r>
          </w:p>
          <w:p>
            <w:pPr>
              <w:spacing w:after="0" w:line="240" w:lineRule="auto"/>
              <w:rPr>
                <w:sz w:val="20"/>
                <w:szCs w:val="20"/>
              </w:rPr>
            </w:pPr>
          </w:p>
          <w:p>
            <w:pPr>
              <w:spacing w:after="0" w:line="240" w:lineRule="auto"/>
              <w:rPr>
                <w:sz w:val="20"/>
                <w:szCs w:val="20"/>
              </w:rPr>
            </w:pPr>
            <w:r>
              <w:rPr>
                <w:sz w:val="20"/>
                <w:szCs w:val="20"/>
              </w:rPr>
              <w:t>Evaluasi SPO dan tindak lanjut</w:t>
            </w:r>
          </w:p>
        </w:tc>
        <w:tc>
          <w:tcPr>
            <w:tcW w:w="2552" w:type="dxa"/>
            <w:shd w:val="clear" w:color="auto" w:fill="auto"/>
          </w:tcPr>
          <w:p>
            <w:pPr>
              <w:spacing w:after="0" w:line="240" w:lineRule="auto"/>
              <w:rPr>
                <w:sz w:val="20"/>
                <w:szCs w:val="20"/>
              </w:rPr>
            </w:pPr>
            <w:r>
              <w:rPr>
                <w:sz w:val="20"/>
                <w:szCs w:val="20"/>
              </w:rPr>
              <w:t>Pemetaan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Workshop/Seminar </w:t>
            </w:r>
          </w:p>
          <w:p>
            <w:pPr>
              <w:spacing w:after="0" w:line="240" w:lineRule="auto"/>
              <w:rPr>
                <w:sz w:val="20"/>
                <w:szCs w:val="20"/>
              </w:rPr>
            </w:pPr>
          </w:p>
          <w:p>
            <w:pPr>
              <w:spacing w:after="0" w:line="240" w:lineRule="auto"/>
              <w:rPr>
                <w:sz w:val="20"/>
                <w:szCs w:val="20"/>
              </w:rPr>
            </w:pPr>
            <w:r>
              <w:rPr>
                <w:sz w:val="20"/>
                <w:szCs w:val="20"/>
              </w:rPr>
              <w:t>Penyusunan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 </w:t>
            </w:r>
          </w:p>
          <w:p>
            <w:pPr>
              <w:spacing w:after="0" w:line="240" w:lineRule="auto"/>
              <w:rPr>
                <w:sz w:val="20"/>
                <w:szCs w:val="20"/>
              </w:rPr>
            </w:pPr>
          </w:p>
          <w:p>
            <w:pPr>
              <w:spacing w:after="0" w:line="240" w:lineRule="auto"/>
              <w:rPr>
                <w:sz w:val="20"/>
                <w:szCs w:val="20"/>
              </w:rPr>
            </w:pPr>
            <w:r>
              <w:rPr>
                <w:sz w:val="20"/>
                <w:szCs w:val="20"/>
              </w:rPr>
              <w:t>Sosialisasi</w:t>
            </w:r>
          </w:p>
          <w:p>
            <w:pPr>
              <w:spacing w:after="0" w:line="240" w:lineRule="auto"/>
              <w:rPr>
                <w:sz w:val="20"/>
                <w:szCs w:val="20"/>
              </w:rPr>
            </w:pPr>
            <w:r>
              <w:rPr>
                <w:sz w:val="20"/>
                <w:szCs w:val="20"/>
              </w:rPr>
              <w:t>Implementasi SPO</w:t>
            </w:r>
          </w:p>
          <w:p>
            <w:pPr>
              <w:spacing w:after="0" w:line="240" w:lineRule="auto"/>
              <w:rPr>
                <w:sz w:val="20"/>
                <w:szCs w:val="20"/>
              </w:rPr>
            </w:pPr>
          </w:p>
          <w:p>
            <w:pPr>
              <w:spacing w:after="0" w:line="240" w:lineRule="auto"/>
              <w:rPr>
                <w:sz w:val="20"/>
                <w:szCs w:val="20"/>
              </w:rPr>
            </w:pPr>
            <w:r>
              <w:rPr>
                <w:sz w:val="20"/>
                <w:szCs w:val="20"/>
              </w:rPr>
              <w:t>Evaluasi SPO dan tindak lanjut</w:t>
            </w:r>
          </w:p>
        </w:tc>
        <w:tc>
          <w:tcPr>
            <w:tcW w:w="2409" w:type="dxa"/>
            <w:shd w:val="clear" w:color="auto" w:fill="auto"/>
          </w:tcPr>
          <w:p>
            <w:pPr>
              <w:spacing w:after="0" w:line="240" w:lineRule="auto"/>
              <w:rPr>
                <w:sz w:val="20"/>
                <w:szCs w:val="20"/>
              </w:rPr>
            </w:pPr>
            <w:r>
              <w:rPr>
                <w:sz w:val="20"/>
                <w:szCs w:val="20"/>
              </w:rPr>
              <w:t>Pemetaan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Workshop/Seminar </w:t>
            </w:r>
          </w:p>
          <w:p>
            <w:pPr>
              <w:spacing w:after="0" w:line="240" w:lineRule="auto"/>
              <w:rPr>
                <w:sz w:val="20"/>
                <w:szCs w:val="20"/>
              </w:rPr>
            </w:pPr>
          </w:p>
          <w:p>
            <w:pPr>
              <w:spacing w:after="0" w:line="240" w:lineRule="auto"/>
              <w:rPr>
                <w:sz w:val="20"/>
                <w:szCs w:val="20"/>
              </w:rPr>
            </w:pPr>
            <w:r>
              <w:rPr>
                <w:sz w:val="20"/>
                <w:szCs w:val="20"/>
              </w:rPr>
              <w:t>Penyusunan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 </w:t>
            </w:r>
          </w:p>
          <w:p>
            <w:pPr>
              <w:spacing w:after="0" w:line="240" w:lineRule="auto"/>
              <w:rPr>
                <w:sz w:val="20"/>
                <w:szCs w:val="20"/>
              </w:rPr>
            </w:pPr>
          </w:p>
          <w:p>
            <w:pPr>
              <w:spacing w:after="0" w:line="240" w:lineRule="auto"/>
              <w:rPr>
                <w:sz w:val="20"/>
                <w:szCs w:val="20"/>
              </w:rPr>
            </w:pPr>
            <w:r>
              <w:rPr>
                <w:sz w:val="20"/>
                <w:szCs w:val="20"/>
              </w:rPr>
              <w:t>Sosialisasi</w:t>
            </w:r>
          </w:p>
          <w:p>
            <w:pPr>
              <w:spacing w:after="0" w:line="240" w:lineRule="auto"/>
              <w:rPr>
                <w:sz w:val="20"/>
                <w:szCs w:val="20"/>
              </w:rPr>
            </w:pPr>
            <w:r>
              <w:rPr>
                <w:sz w:val="20"/>
                <w:szCs w:val="20"/>
              </w:rPr>
              <w:t>Implementasi SPO</w:t>
            </w:r>
          </w:p>
          <w:p>
            <w:pPr>
              <w:spacing w:after="0" w:line="240" w:lineRule="auto"/>
              <w:rPr>
                <w:sz w:val="20"/>
                <w:szCs w:val="20"/>
              </w:rPr>
            </w:pPr>
          </w:p>
          <w:p>
            <w:pPr>
              <w:spacing w:after="0" w:line="240" w:lineRule="auto"/>
              <w:rPr>
                <w:sz w:val="20"/>
                <w:szCs w:val="20"/>
              </w:rPr>
            </w:pPr>
            <w:r>
              <w:rPr>
                <w:sz w:val="20"/>
                <w:szCs w:val="20"/>
              </w:rPr>
              <w:t>Evaluasi SPO dan tindak lanjut</w:t>
            </w:r>
          </w:p>
        </w:tc>
        <w:tc>
          <w:tcPr>
            <w:tcW w:w="2410" w:type="dxa"/>
            <w:shd w:val="clear" w:color="auto" w:fill="auto"/>
          </w:tcPr>
          <w:p>
            <w:pPr>
              <w:spacing w:after="0" w:line="240" w:lineRule="auto"/>
              <w:rPr>
                <w:sz w:val="20"/>
                <w:szCs w:val="20"/>
              </w:rPr>
            </w:pPr>
            <w:r>
              <w:rPr>
                <w:sz w:val="20"/>
                <w:szCs w:val="20"/>
              </w:rPr>
              <w:t>Pemetaan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Workshop/Seminar </w:t>
            </w:r>
          </w:p>
          <w:p>
            <w:pPr>
              <w:spacing w:after="0" w:line="240" w:lineRule="auto"/>
              <w:rPr>
                <w:sz w:val="20"/>
                <w:szCs w:val="20"/>
              </w:rPr>
            </w:pPr>
          </w:p>
          <w:p>
            <w:pPr>
              <w:spacing w:after="0" w:line="240" w:lineRule="auto"/>
              <w:rPr>
                <w:sz w:val="20"/>
                <w:szCs w:val="20"/>
              </w:rPr>
            </w:pPr>
            <w:r>
              <w:rPr>
                <w:sz w:val="20"/>
                <w:szCs w:val="20"/>
              </w:rPr>
              <w:t>Penyusunan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 </w:t>
            </w:r>
          </w:p>
          <w:p>
            <w:pPr>
              <w:spacing w:after="0" w:line="240" w:lineRule="auto"/>
              <w:rPr>
                <w:sz w:val="20"/>
                <w:szCs w:val="20"/>
              </w:rPr>
            </w:pPr>
          </w:p>
          <w:p>
            <w:pPr>
              <w:spacing w:after="0" w:line="240" w:lineRule="auto"/>
              <w:rPr>
                <w:sz w:val="20"/>
                <w:szCs w:val="20"/>
              </w:rPr>
            </w:pPr>
            <w:r>
              <w:rPr>
                <w:sz w:val="20"/>
                <w:szCs w:val="20"/>
              </w:rPr>
              <w:t>Sosialisasi</w:t>
            </w:r>
          </w:p>
          <w:p>
            <w:pPr>
              <w:spacing w:after="0" w:line="240" w:lineRule="auto"/>
              <w:rPr>
                <w:sz w:val="20"/>
                <w:szCs w:val="20"/>
              </w:rPr>
            </w:pPr>
            <w:r>
              <w:rPr>
                <w:sz w:val="20"/>
                <w:szCs w:val="20"/>
              </w:rPr>
              <w:t>Implementasi SPO</w:t>
            </w:r>
          </w:p>
          <w:p>
            <w:pPr>
              <w:spacing w:after="0" w:line="240" w:lineRule="auto"/>
              <w:rPr>
                <w:sz w:val="20"/>
                <w:szCs w:val="20"/>
              </w:rPr>
            </w:pPr>
          </w:p>
          <w:p>
            <w:pPr>
              <w:spacing w:after="0" w:line="240" w:lineRule="auto"/>
              <w:rPr>
                <w:sz w:val="20"/>
                <w:szCs w:val="20"/>
              </w:rPr>
            </w:pPr>
            <w:r>
              <w:rPr>
                <w:sz w:val="20"/>
                <w:szCs w:val="20"/>
              </w:rPr>
              <w:t>Evaluasi SPO dan tindak lanjut</w:t>
            </w:r>
          </w:p>
        </w:tc>
        <w:tc>
          <w:tcPr>
            <w:tcW w:w="2552" w:type="dxa"/>
            <w:shd w:val="clear" w:color="auto" w:fill="auto"/>
          </w:tcPr>
          <w:p>
            <w:pPr>
              <w:spacing w:after="0" w:line="240" w:lineRule="auto"/>
              <w:rPr>
                <w:sz w:val="20"/>
                <w:szCs w:val="20"/>
              </w:rPr>
            </w:pPr>
            <w:r>
              <w:rPr>
                <w:sz w:val="20"/>
                <w:szCs w:val="20"/>
              </w:rPr>
              <w:t>Pemetaan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Workshop/Seminar </w:t>
            </w:r>
          </w:p>
          <w:p>
            <w:pPr>
              <w:spacing w:after="0" w:line="240" w:lineRule="auto"/>
              <w:rPr>
                <w:sz w:val="20"/>
                <w:szCs w:val="20"/>
              </w:rPr>
            </w:pPr>
          </w:p>
          <w:p>
            <w:pPr>
              <w:spacing w:after="0" w:line="240" w:lineRule="auto"/>
              <w:rPr>
                <w:sz w:val="20"/>
                <w:szCs w:val="20"/>
              </w:rPr>
            </w:pPr>
            <w:r>
              <w:rPr>
                <w:sz w:val="20"/>
                <w:szCs w:val="20"/>
              </w:rPr>
              <w:t>Penyusunan SPO Bersama</w:t>
            </w:r>
          </w:p>
          <w:p>
            <w:pPr>
              <w:pStyle w:val="28"/>
              <w:numPr>
                <w:ilvl w:val="0"/>
                <w:numId w:val="52"/>
              </w:numPr>
              <w:spacing w:after="0" w:line="240" w:lineRule="auto"/>
              <w:ind w:left="288" w:hanging="288"/>
              <w:contextualSpacing w:val="0"/>
              <w:rPr>
                <w:sz w:val="20"/>
                <w:szCs w:val="20"/>
              </w:rPr>
            </w:pPr>
            <w:r>
              <w:rPr>
                <w:sz w:val="20"/>
                <w:szCs w:val="20"/>
              </w:rPr>
              <w:t xml:space="preserve">Workshop </w:t>
            </w:r>
          </w:p>
          <w:p>
            <w:pPr>
              <w:spacing w:after="0" w:line="240" w:lineRule="auto"/>
              <w:rPr>
                <w:sz w:val="20"/>
                <w:szCs w:val="20"/>
              </w:rPr>
            </w:pPr>
          </w:p>
          <w:p>
            <w:pPr>
              <w:spacing w:after="0" w:line="240" w:lineRule="auto"/>
              <w:rPr>
                <w:sz w:val="20"/>
                <w:szCs w:val="20"/>
              </w:rPr>
            </w:pPr>
            <w:r>
              <w:rPr>
                <w:sz w:val="20"/>
                <w:szCs w:val="20"/>
              </w:rPr>
              <w:t>Sosialisasi</w:t>
            </w:r>
          </w:p>
          <w:p>
            <w:pPr>
              <w:spacing w:after="0" w:line="240" w:lineRule="auto"/>
              <w:rPr>
                <w:sz w:val="20"/>
                <w:szCs w:val="20"/>
              </w:rPr>
            </w:pPr>
            <w:r>
              <w:rPr>
                <w:sz w:val="20"/>
                <w:szCs w:val="20"/>
              </w:rPr>
              <w:t>Implementasi SPO</w:t>
            </w:r>
          </w:p>
          <w:p>
            <w:pPr>
              <w:spacing w:after="0" w:line="240" w:lineRule="auto"/>
              <w:rPr>
                <w:sz w:val="20"/>
                <w:szCs w:val="20"/>
              </w:rPr>
            </w:pPr>
          </w:p>
          <w:p>
            <w:pPr>
              <w:spacing w:after="0" w:line="240" w:lineRule="auto"/>
              <w:rPr>
                <w:sz w:val="20"/>
                <w:szCs w:val="20"/>
              </w:rPr>
            </w:pPr>
            <w:r>
              <w:rPr>
                <w:sz w:val="20"/>
                <w:szCs w:val="20"/>
              </w:rPr>
              <w:t>Evaluasi SPO dan tindak lanjut</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16</w:t>
            </w:r>
          </w:p>
        </w:tc>
        <w:tc>
          <w:tcPr>
            <w:tcW w:w="1790" w:type="dxa"/>
            <w:shd w:val="clear" w:color="auto" w:fill="auto"/>
          </w:tcPr>
          <w:p>
            <w:pPr>
              <w:spacing w:line="240" w:lineRule="auto"/>
              <w:rPr>
                <w:color w:val="000000"/>
                <w:sz w:val="20"/>
                <w:szCs w:val="20"/>
              </w:rPr>
            </w:pPr>
            <w:r>
              <w:rPr>
                <w:color w:val="000000"/>
                <w:sz w:val="20"/>
                <w:szCs w:val="20"/>
              </w:rPr>
              <w:t>Tingkat keandalan sarpras (OEE)</w:t>
            </w:r>
          </w:p>
        </w:tc>
        <w:tc>
          <w:tcPr>
            <w:tcW w:w="2551" w:type="dxa"/>
            <w:shd w:val="clear" w:color="auto" w:fill="auto"/>
          </w:tcPr>
          <w:p>
            <w:pPr>
              <w:spacing w:after="0" w:line="240" w:lineRule="auto"/>
              <w:rPr>
                <w:color w:val="000000"/>
                <w:sz w:val="20"/>
                <w:szCs w:val="20"/>
              </w:rPr>
            </w:pPr>
            <w:r>
              <w:rPr>
                <w:color w:val="000000"/>
                <w:sz w:val="20"/>
                <w:szCs w:val="20"/>
              </w:rPr>
              <w:t>Identifikasi asset RSHS dan FKUP</w:t>
            </w:r>
          </w:p>
          <w:p>
            <w:pPr>
              <w:numPr>
                <w:ilvl w:val="0"/>
                <w:numId w:val="53"/>
              </w:numPr>
              <w:spacing w:line="240" w:lineRule="auto"/>
              <w:ind w:left="288" w:hanging="288"/>
              <w:contextualSpacing/>
              <w:rPr>
                <w:color w:val="000000"/>
                <w:sz w:val="20"/>
                <w:szCs w:val="20"/>
              </w:rPr>
            </w:pPr>
            <w:r>
              <w:rPr>
                <w:color w:val="000000"/>
                <w:sz w:val="20"/>
                <w:szCs w:val="20"/>
              </w:rPr>
              <w:t>Labelisasi</w:t>
            </w:r>
          </w:p>
          <w:p>
            <w:pPr>
              <w:numPr>
                <w:ilvl w:val="0"/>
                <w:numId w:val="53"/>
              </w:numPr>
              <w:spacing w:line="240" w:lineRule="auto"/>
              <w:ind w:left="288" w:hanging="288"/>
              <w:rPr>
                <w:color w:val="000000"/>
                <w:sz w:val="20"/>
                <w:szCs w:val="20"/>
              </w:rPr>
            </w:pPr>
            <w:r>
              <w:rPr>
                <w:color w:val="000000"/>
                <w:sz w:val="20"/>
                <w:szCs w:val="20"/>
              </w:rPr>
              <w:t xml:space="preserve">Monev </w:t>
            </w:r>
          </w:p>
          <w:p>
            <w:pPr>
              <w:spacing w:after="0" w:line="240" w:lineRule="auto"/>
              <w:rPr>
                <w:color w:val="000000"/>
                <w:sz w:val="20"/>
                <w:szCs w:val="20"/>
              </w:rPr>
            </w:pPr>
            <w:r>
              <w:rPr>
                <w:color w:val="000000"/>
                <w:sz w:val="20"/>
                <w:szCs w:val="20"/>
              </w:rPr>
              <w:t>Pemeliharaan Sarpras</w:t>
            </w:r>
          </w:p>
          <w:p>
            <w:pPr>
              <w:numPr>
                <w:ilvl w:val="0"/>
                <w:numId w:val="53"/>
              </w:numPr>
              <w:spacing w:line="240" w:lineRule="auto"/>
              <w:ind w:left="288" w:hanging="288"/>
              <w:contextualSpacing/>
              <w:rPr>
                <w:color w:val="000000"/>
                <w:sz w:val="20"/>
                <w:szCs w:val="20"/>
              </w:rPr>
            </w:pPr>
            <w:r>
              <w:rPr>
                <w:color w:val="000000"/>
                <w:sz w:val="20"/>
                <w:szCs w:val="20"/>
              </w:rPr>
              <w:t>Kalibrasi</w:t>
            </w:r>
          </w:p>
          <w:p>
            <w:pPr>
              <w:numPr>
                <w:ilvl w:val="0"/>
                <w:numId w:val="53"/>
              </w:numPr>
              <w:spacing w:line="240" w:lineRule="auto"/>
              <w:ind w:left="288" w:hanging="288"/>
              <w:contextualSpacing/>
              <w:rPr>
                <w:color w:val="000000"/>
                <w:sz w:val="20"/>
                <w:szCs w:val="20"/>
              </w:rPr>
            </w:pPr>
            <w:r>
              <w:rPr>
                <w:color w:val="000000"/>
                <w:sz w:val="20"/>
                <w:szCs w:val="20"/>
              </w:rPr>
              <w:t>Perbaikan Alat</w:t>
            </w:r>
          </w:p>
          <w:p>
            <w:pPr>
              <w:numPr>
                <w:ilvl w:val="0"/>
                <w:numId w:val="53"/>
              </w:numPr>
              <w:spacing w:line="240" w:lineRule="auto"/>
              <w:ind w:left="288" w:hanging="288"/>
              <w:contextualSpacing/>
              <w:rPr>
                <w:color w:val="000000"/>
                <w:sz w:val="20"/>
                <w:szCs w:val="20"/>
              </w:rPr>
            </w:pPr>
            <w:r>
              <w:rPr>
                <w:color w:val="000000"/>
                <w:sz w:val="20"/>
                <w:szCs w:val="20"/>
              </w:rPr>
              <w:t xml:space="preserve">Stock persediaan </w:t>
            </w:r>
          </w:p>
          <w:p>
            <w:pPr>
              <w:numPr>
                <w:ilvl w:val="0"/>
                <w:numId w:val="53"/>
              </w:numPr>
              <w:spacing w:line="240" w:lineRule="auto"/>
              <w:ind w:left="288" w:hanging="288"/>
              <w:rPr>
                <w:color w:val="000000"/>
                <w:sz w:val="20"/>
                <w:szCs w:val="20"/>
              </w:rPr>
            </w:pPr>
            <w:r>
              <w:rPr>
                <w:color w:val="000000"/>
                <w:sz w:val="20"/>
                <w:szCs w:val="20"/>
              </w:rPr>
              <w:t>Renovasi</w:t>
            </w:r>
          </w:p>
          <w:p>
            <w:pPr>
              <w:spacing w:after="0" w:line="240" w:lineRule="auto"/>
              <w:rPr>
                <w:color w:val="000000"/>
                <w:sz w:val="20"/>
                <w:szCs w:val="20"/>
              </w:rPr>
            </w:pPr>
            <w:r>
              <w:rPr>
                <w:color w:val="000000"/>
                <w:sz w:val="20"/>
                <w:szCs w:val="20"/>
              </w:rPr>
              <w:t>Pengembangan</w:t>
            </w:r>
          </w:p>
          <w:p>
            <w:pPr>
              <w:numPr>
                <w:ilvl w:val="0"/>
                <w:numId w:val="53"/>
              </w:numPr>
              <w:spacing w:line="240" w:lineRule="auto"/>
              <w:ind w:left="288" w:hanging="288"/>
              <w:contextualSpacing/>
              <w:rPr>
                <w:color w:val="000000"/>
                <w:sz w:val="20"/>
                <w:szCs w:val="20"/>
              </w:rPr>
            </w:pPr>
            <w:r>
              <w:rPr>
                <w:color w:val="000000"/>
                <w:sz w:val="20"/>
                <w:szCs w:val="20"/>
              </w:rPr>
              <w:t>Peremajaan</w:t>
            </w:r>
          </w:p>
          <w:p>
            <w:pPr>
              <w:numPr>
                <w:ilvl w:val="0"/>
                <w:numId w:val="53"/>
              </w:numPr>
              <w:spacing w:line="240" w:lineRule="auto"/>
              <w:ind w:left="288" w:hanging="288"/>
              <w:contextualSpacing/>
              <w:rPr>
                <w:color w:val="000000"/>
                <w:sz w:val="20"/>
                <w:szCs w:val="20"/>
              </w:rPr>
            </w:pPr>
            <w:r>
              <w:rPr>
                <w:color w:val="000000"/>
                <w:sz w:val="20"/>
                <w:szCs w:val="20"/>
              </w:rPr>
              <w:t>Penambahan</w:t>
            </w:r>
          </w:p>
          <w:p>
            <w:pPr>
              <w:numPr>
                <w:ilvl w:val="0"/>
                <w:numId w:val="53"/>
              </w:numPr>
              <w:spacing w:line="240" w:lineRule="auto"/>
              <w:ind w:left="288" w:hanging="288"/>
              <w:contextualSpacing/>
              <w:rPr>
                <w:color w:val="000000"/>
                <w:sz w:val="20"/>
                <w:szCs w:val="20"/>
              </w:rPr>
            </w:pPr>
            <w:r>
              <w:rPr>
                <w:color w:val="000000"/>
                <w:sz w:val="20"/>
                <w:szCs w:val="20"/>
              </w:rPr>
              <w:t xml:space="preserve">Penghapusan </w:t>
            </w:r>
          </w:p>
          <w:p>
            <w:pPr>
              <w:spacing w:line="240" w:lineRule="auto"/>
              <w:ind w:left="288" w:hanging="288"/>
              <w:contextualSpacing/>
              <w:rPr>
                <w:color w:val="000000"/>
                <w:sz w:val="20"/>
                <w:szCs w:val="20"/>
              </w:rPr>
            </w:pPr>
          </w:p>
        </w:tc>
        <w:tc>
          <w:tcPr>
            <w:tcW w:w="2552" w:type="dxa"/>
            <w:shd w:val="clear" w:color="auto" w:fill="auto"/>
          </w:tcPr>
          <w:p>
            <w:pPr>
              <w:spacing w:after="0" w:line="240" w:lineRule="auto"/>
              <w:rPr>
                <w:sz w:val="20"/>
                <w:szCs w:val="20"/>
              </w:rPr>
            </w:pPr>
            <w:r>
              <w:rPr>
                <w:sz w:val="20"/>
                <w:szCs w:val="20"/>
              </w:rPr>
              <w:t>Penyediaan SIM asset RSHS dan FK Unpad yang terintegrasi</w:t>
            </w:r>
          </w:p>
          <w:p>
            <w:pPr>
              <w:numPr>
                <w:ilvl w:val="0"/>
                <w:numId w:val="53"/>
              </w:numPr>
              <w:spacing w:line="240" w:lineRule="auto"/>
              <w:ind w:left="288" w:hanging="288"/>
              <w:contextualSpacing/>
              <w:rPr>
                <w:sz w:val="20"/>
                <w:szCs w:val="20"/>
              </w:rPr>
            </w:pPr>
            <w:r>
              <w:rPr>
                <w:sz w:val="20"/>
                <w:szCs w:val="20"/>
              </w:rPr>
              <w:t>Pembangunan SIM Asset RS</w:t>
            </w:r>
          </w:p>
          <w:p>
            <w:pPr>
              <w:numPr>
                <w:ilvl w:val="0"/>
                <w:numId w:val="53"/>
              </w:numPr>
              <w:spacing w:line="240" w:lineRule="auto"/>
              <w:ind w:left="288" w:hanging="288"/>
              <w:contextualSpacing/>
              <w:rPr>
                <w:sz w:val="20"/>
                <w:szCs w:val="20"/>
              </w:rPr>
            </w:pPr>
            <w:r>
              <w:rPr>
                <w:sz w:val="20"/>
                <w:szCs w:val="20"/>
              </w:rPr>
              <w:t>Pelatihan</w:t>
            </w:r>
          </w:p>
          <w:p>
            <w:pPr>
              <w:numPr>
                <w:ilvl w:val="0"/>
                <w:numId w:val="53"/>
              </w:numPr>
              <w:spacing w:line="240" w:lineRule="auto"/>
              <w:ind w:left="288" w:hanging="288"/>
              <w:rPr>
                <w:sz w:val="20"/>
                <w:szCs w:val="20"/>
              </w:rPr>
            </w:pPr>
            <w:r>
              <w:rPr>
                <w:sz w:val="20"/>
                <w:szCs w:val="20"/>
              </w:rPr>
              <w:t>Monev</w:t>
            </w:r>
          </w:p>
          <w:p>
            <w:pPr>
              <w:pStyle w:val="28"/>
              <w:spacing w:after="0" w:line="240" w:lineRule="auto"/>
              <w:ind w:left="0"/>
              <w:rPr>
                <w:sz w:val="20"/>
                <w:szCs w:val="20"/>
              </w:rPr>
            </w:pPr>
            <w:r>
              <w:rPr>
                <w:sz w:val="20"/>
                <w:szCs w:val="20"/>
              </w:rPr>
              <w:t>Pemeliharaan Sarpras</w:t>
            </w:r>
          </w:p>
          <w:p>
            <w:pPr>
              <w:numPr>
                <w:ilvl w:val="0"/>
                <w:numId w:val="53"/>
              </w:numPr>
              <w:spacing w:line="240" w:lineRule="auto"/>
              <w:ind w:left="288" w:hanging="288"/>
              <w:contextualSpacing/>
              <w:rPr>
                <w:sz w:val="20"/>
                <w:szCs w:val="20"/>
              </w:rPr>
            </w:pPr>
            <w:r>
              <w:rPr>
                <w:sz w:val="20"/>
                <w:szCs w:val="20"/>
              </w:rPr>
              <w:t>Kalibrasi</w:t>
            </w:r>
          </w:p>
          <w:p>
            <w:pPr>
              <w:numPr>
                <w:ilvl w:val="0"/>
                <w:numId w:val="53"/>
              </w:numPr>
              <w:spacing w:line="240" w:lineRule="auto"/>
              <w:ind w:left="288" w:hanging="288"/>
              <w:contextualSpacing/>
              <w:rPr>
                <w:sz w:val="20"/>
                <w:szCs w:val="20"/>
              </w:rPr>
            </w:pPr>
            <w:r>
              <w:rPr>
                <w:sz w:val="20"/>
                <w:szCs w:val="20"/>
              </w:rPr>
              <w:t>Pemutakhiran Alat</w:t>
            </w:r>
          </w:p>
          <w:p>
            <w:pPr>
              <w:numPr>
                <w:ilvl w:val="0"/>
                <w:numId w:val="53"/>
              </w:numPr>
              <w:spacing w:line="240" w:lineRule="auto"/>
              <w:ind w:left="288" w:hanging="288"/>
              <w:contextualSpacing/>
              <w:rPr>
                <w:sz w:val="20"/>
                <w:szCs w:val="20"/>
              </w:rPr>
            </w:pPr>
            <w:r>
              <w:rPr>
                <w:sz w:val="20"/>
                <w:szCs w:val="20"/>
              </w:rPr>
              <w:t xml:space="preserve">Stock persediaan </w:t>
            </w:r>
          </w:p>
          <w:p>
            <w:pPr>
              <w:numPr>
                <w:ilvl w:val="0"/>
                <w:numId w:val="53"/>
              </w:numPr>
              <w:spacing w:line="240" w:lineRule="auto"/>
              <w:ind w:left="288" w:hanging="288"/>
              <w:contextualSpacing/>
              <w:rPr>
                <w:sz w:val="20"/>
                <w:szCs w:val="20"/>
              </w:rPr>
            </w:pPr>
            <w:r>
              <w:rPr>
                <w:sz w:val="20"/>
                <w:szCs w:val="20"/>
              </w:rPr>
              <w:t>Renovasi</w:t>
            </w:r>
          </w:p>
          <w:p>
            <w:pPr>
              <w:pStyle w:val="28"/>
              <w:spacing w:after="0" w:line="240" w:lineRule="auto"/>
              <w:ind w:left="0"/>
              <w:rPr>
                <w:sz w:val="20"/>
                <w:szCs w:val="20"/>
              </w:rPr>
            </w:pPr>
            <w:r>
              <w:rPr>
                <w:sz w:val="20"/>
                <w:szCs w:val="20"/>
              </w:rPr>
              <w:t>Pengembangan</w:t>
            </w:r>
          </w:p>
          <w:p>
            <w:pPr>
              <w:numPr>
                <w:ilvl w:val="0"/>
                <w:numId w:val="53"/>
              </w:numPr>
              <w:spacing w:line="240" w:lineRule="auto"/>
              <w:ind w:left="288" w:hanging="288"/>
              <w:contextualSpacing/>
              <w:rPr>
                <w:sz w:val="20"/>
                <w:szCs w:val="20"/>
              </w:rPr>
            </w:pPr>
            <w:r>
              <w:rPr>
                <w:sz w:val="20"/>
                <w:szCs w:val="20"/>
              </w:rPr>
              <w:t>Peremajaan</w:t>
            </w:r>
          </w:p>
          <w:p>
            <w:pPr>
              <w:numPr>
                <w:ilvl w:val="0"/>
                <w:numId w:val="53"/>
              </w:numPr>
              <w:spacing w:line="240" w:lineRule="auto"/>
              <w:ind w:left="288" w:hanging="288"/>
              <w:contextualSpacing/>
              <w:rPr>
                <w:sz w:val="20"/>
                <w:szCs w:val="20"/>
              </w:rPr>
            </w:pPr>
            <w:r>
              <w:rPr>
                <w:sz w:val="20"/>
                <w:szCs w:val="20"/>
              </w:rPr>
              <w:t>Penambahan</w:t>
            </w:r>
          </w:p>
          <w:p>
            <w:pPr>
              <w:numPr>
                <w:ilvl w:val="0"/>
                <w:numId w:val="53"/>
              </w:numPr>
              <w:spacing w:line="240" w:lineRule="auto"/>
              <w:ind w:left="288" w:hanging="288"/>
              <w:contextualSpacing/>
              <w:rPr>
                <w:sz w:val="20"/>
                <w:szCs w:val="20"/>
              </w:rPr>
            </w:pPr>
            <w:r>
              <w:rPr>
                <w:sz w:val="20"/>
                <w:szCs w:val="20"/>
              </w:rPr>
              <w:t xml:space="preserve">Penghapusan </w:t>
            </w:r>
          </w:p>
          <w:p>
            <w:pPr>
              <w:spacing w:line="240" w:lineRule="auto"/>
              <w:ind w:left="288" w:hanging="288"/>
              <w:contextualSpacing/>
              <w:rPr>
                <w:sz w:val="20"/>
                <w:szCs w:val="20"/>
              </w:rPr>
            </w:pPr>
          </w:p>
        </w:tc>
        <w:tc>
          <w:tcPr>
            <w:tcW w:w="2409" w:type="dxa"/>
            <w:shd w:val="clear" w:color="auto" w:fill="auto"/>
          </w:tcPr>
          <w:p>
            <w:pPr>
              <w:spacing w:after="0" w:line="240" w:lineRule="auto"/>
              <w:contextualSpacing/>
              <w:rPr>
                <w:sz w:val="20"/>
                <w:szCs w:val="20"/>
              </w:rPr>
            </w:pPr>
            <w:r>
              <w:rPr>
                <w:sz w:val="20"/>
                <w:szCs w:val="20"/>
              </w:rPr>
              <w:t>Pemeliharaan SIM asset RSHS dan FK Unpad yang terintegrasi</w:t>
            </w:r>
          </w:p>
          <w:p>
            <w:pPr>
              <w:numPr>
                <w:ilvl w:val="0"/>
                <w:numId w:val="53"/>
              </w:numPr>
              <w:spacing w:line="240" w:lineRule="auto"/>
              <w:ind w:left="288" w:hanging="288"/>
              <w:contextualSpacing/>
              <w:rPr>
                <w:sz w:val="20"/>
                <w:szCs w:val="20"/>
              </w:rPr>
            </w:pPr>
            <w:r>
              <w:rPr>
                <w:sz w:val="20"/>
                <w:szCs w:val="20"/>
              </w:rPr>
              <w:t>Implementasi SIM Asset RS</w:t>
            </w:r>
          </w:p>
          <w:p>
            <w:pPr>
              <w:numPr>
                <w:ilvl w:val="0"/>
                <w:numId w:val="53"/>
              </w:numPr>
              <w:spacing w:line="240" w:lineRule="auto"/>
              <w:ind w:left="288" w:hanging="288"/>
              <w:contextualSpacing/>
              <w:rPr>
                <w:sz w:val="20"/>
                <w:szCs w:val="20"/>
              </w:rPr>
            </w:pPr>
            <w:r>
              <w:rPr>
                <w:sz w:val="20"/>
                <w:szCs w:val="20"/>
              </w:rPr>
              <w:t>Pemeliharaan dan pengembangan</w:t>
            </w:r>
          </w:p>
          <w:p>
            <w:pPr>
              <w:numPr>
                <w:ilvl w:val="0"/>
                <w:numId w:val="53"/>
              </w:numPr>
              <w:spacing w:line="240" w:lineRule="auto"/>
              <w:ind w:left="288" w:hanging="288"/>
              <w:contextualSpacing/>
              <w:rPr>
                <w:sz w:val="20"/>
                <w:szCs w:val="20"/>
              </w:rPr>
            </w:pPr>
            <w:r>
              <w:rPr>
                <w:sz w:val="20"/>
                <w:szCs w:val="20"/>
              </w:rPr>
              <w:t>Monev</w:t>
            </w:r>
          </w:p>
          <w:p>
            <w:pPr>
              <w:pStyle w:val="28"/>
              <w:spacing w:after="0" w:line="240" w:lineRule="auto"/>
              <w:ind w:left="0"/>
              <w:rPr>
                <w:sz w:val="20"/>
                <w:szCs w:val="20"/>
              </w:rPr>
            </w:pPr>
            <w:r>
              <w:rPr>
                <w:sz w:val="20"/>
                <w:szCs w:val="20"/>
              </w:rPr>
              <w:t>Pemeliharaan Sarpras</w:t>
            </w:r>
          </w:p>
          <w:p>
            <w:pPr>
              <w:numPr>
                <w:ilvl w:val="0"/>
                <w:numId w:val="53"/>
              </w:numPr>
              <w:spacing w:line="240" w:lineRule="auto"/>
              <w:ind w:left="288" w:hanging="288"/>
              <w:contextualSpacing/>
              <w:rPr>
                <w:sz w:val="20"/>
                <w:szCs w:val="20"/>
              </w:rPr>
            </w:pPr>
            <w:r>
              <w:rPr>
                <w:sz w:val="20"/>
                <w:szCs w:val="20"/>
              </w:rPr>
              <w:t>Kalibrasi</w:t>
            </w:r>
          </w:p>
          <w:p>
            <w:pPr>
              <w:numPr>
                <w:ilvl w:val="0"/>
                <w:numId w:val="53"/>
              </w:numPr>
              <w:spacing w:line="240" w:lineRule="auto"/>
              <w:ind w:left="288" w:hanging="288"/>
              <w:contextualSpacing/>
              <w:rPr>
                <w:sz w:val="20"/>
                <w:szCs w:val="20"/>
              </w:rPr>
            </w:pPr>
            <w:r>
              <w:rPr>
                <w:sz w:val="20"/>
                <w:szCs w:val="20"/>
              </w:rPr>
              <w:t>Pemutakhiran Alat</w:t>
            </w:r>
          </w:p>
          <w:p>
            <w:pPr>
              <w:numPr>
                <w:ilvl w:val="0"/>
                <w:numId w:val="53"/>
              </w:numPr>
              <w:spacing w:line="240" w:lineRule="auto"/>
              <w:ind w:left="288" w:hanging="288"/>
              <w:contextualSpacing/>
              <w:rPr>
                <w:sz w:val="20"/>
                <w:szCs w:val="20"/>
              </w:rPr>
            </w:pPr>
            <w:r>
              <w:rPr>
                <w:sz w:val="20"/>
                <w:szCs w:val="20"/>
              </w:rPr>
              <w:t xml:space="preserve">Stock persediaan </w:t>
            </w:r>
          </w:p>
          <w:p>
            <w:pPr>
              <w:numPr>
                <w:ilvl w:val="0"/>
                <w:numId w:val="53"/>
              </w:numPr>
              <w:spacing w:line="240" w:lineRule="auto"/>
              <w:ind w:left="288" w:hanging="288"/>
              <w:contextualSpacing/>
              <w:rPr>
                <w:sz w:val="20"/>
                <w:szCs w:val="20"/>
              </w:rPr>
            </w:pPr>
            <w:r>
              <w:rPr>
                <w:sz w:val="20"/>
                <w:szCs w:val="20"/>
              </w:rPr>
              <w:t>Renovasi</w:t>
            </w:r>
          </w:p>
          <w:p>
            <w:pPr>
              <w:pStyle w:val="28"/>
              <w:spacing w:after="0" w:line="240" w:lineRule="auto"/>
              <w:ind w:left="0"/>
              <w:rPr>
                <w:sz w:val="20"/>
                <w:szCs w:val="20"/>
              </w:rPr>
            </w:pPr>
            <w:r>
              <w:rPr>
                <w:sz w:val="20"/>
                <w:szCs w:val="20"/>
              </w:rPr>
              <w:t>Pengembangan</w:t>
            </w:r>
          </w:p>
          <w:p>
            <w:pPr>
              <w:numPr>
                <w:ilvl w:val="0"/>
                <w:numId w:val="53"/>
              </w:numPr>
              <w:spacing w:line="240" w:lineRule="auto"/>
              <w:ind w:left="288" w:hanging="288"/>
              <w:contextualSpacing/>
              <w:rPr>
                <w:sz w:val="20"/>
                <w:szCs w:val="20"/>
              </w:rPr>
            </w:pPr>
            <w:r>
              <w:rPr>
                <w:sz w:val="20"/>
                <w:szCs w:val="20"/>
              </w:rPr>
              <w:t>Peremajaan</w:t>
            </w:r>
          </w:p>
          <w:p>
            <w:pPr>
              <w:numPr>
                <w:ilvl w:val="0"/>
                <w:numId w:val="53"/>
              </w:numPr>
              <w:spacing w:line="240" w:lineRule="auto"/>
              <w:ind w:left="288" w:hanging="288"/>
              <w:contextualSpacing/>
              <w:rPr>
                <w:sz w:val="20"/>
                <w:szCs w:val="20"/>
              </w:rPr>
            </w:pPr>
            <w:r>
              <w:rPr>
                <w:sz w:val="20"/>
                <w:szCs w:val="20"/>
              </w:rPr>
              <w:t>Penambahan</w:t>
            </w:r>
          </w:p>
          <w:p>
            <w:pPr>
              <w:numPr>
                <w:ilvl w:val="0"/>
                <w:numId w:val="53"/>
              </w:numPr>
              <w:spacing w:line="240" w:lineRule="auto"/>
              <w:ind w:left="288" w:hanging="288"/>
              <w:contextualSpacing/>
              <w:rPr>
                <w:sz w:val="20"/>
                <w:szCs w:val="20"/>
              </w:rPr>
            </w:pPr>
            <w:r>
              <w:rPr>
                <w:sz w:val="20"/>
                <w:szCs w:val="20"/>
              </w:rPr>
              <w:t>Penghapusan</w:t>
            </w:r>
          </w:p>
        </w:tc>
        <w:tc>
          <w:tcPr>
            <w:tcW w:w="2410" w:type="dxa"/>
            <w:shd w:val="clear" w:color="auto" w:fill="auto"/>
          </w:tcPr>
          <w:p>
            <w:pPr>
              <w:spacing w:line="240" w:lineRule="auto"/>
              <w:rPr>
                <w:sz w:val="20"/>
                <w:szCs w:val="20"/>
              </w:rPr>
            </w:pPr>
            <w:r>
              <w:rPr>
                <w:sz w:val="20"/>
                <w:szCs w:val="20"/>
              </w:rPr>
              <w:t>Penyempurnaan Penyediaan  SIM asset RSHS dan FK Unpad yang terintegrasi sesuai hasil monev.</w:t>
            </w:r>
          </w:p>
          <w:p>
            <w:pPr>
              <w:spacing w:after="0" w:line="240" w:lineRule="auto"/>
              <w:contextualSpacing/>
              <w:rPr>
                <w:sz w:val="20"/>
                <w:szCs w:val="20"/>
              </w:rPr>
            </w:pPr>
            <w:r>
              <w:rPr>
                <w:sz w:val="20"/>
                <w:szCs w:val="20"/>
              </w:rPr>
              <w:t>Pemeliharaan Sarpras</w:t>
            </w:r>
          </w:p>
          <w:p>
            <w:pPr>
              <w:numPr>
                <w:ilvl w:val="0"/>
                <w:numId w:val="53"/>
              </w:numPr>
              <w:spacing w:line="240" w:lineRule="auto"/>
              <w:ind w:left="288" w:hanging="288"/>
              <w:contextualSpacing/>
              <w:rPr>
                <w:sz w:val="20"/>
                <w:szCs w:val="20"/>
              </w:rPr>
            </w:pPr>
            <w:r>
              <w:rPr>
                <w:sz w:val="20"/>
                <w:szCs w:val="20"/>
              </w:rPr>
              <w:t>Kalibrasi</w:t>
            </w:r>
          </w:p>
          <w:p>
            <w:pPr>
              <w:numPr>
                <w:ilvl w:val="0"/>
                <w:numId w:val="53"/>
              </w:numPr>
              <w:spacing w:line="240" w:lineRule="auto"/>
              <w:ind w:left="288" w:hanging="288"/>
              <w:contextualSpacing/>
              <w:rPr>
                <w:sz w:val="20"/>
                <w:szCs w:val="20"/>
              </w:rPr>
            </w:pPr>
            <w:r>
              <w:rPr>
                <w:sz w:val="20"/>
                <w:szCs w:val="20"/>
              </w:rPr>
              <w:t>Pemutakhiran Alat</w:t>
            </w:r>
          </w:p>
          <w:p>
            <w:pPr>
              <w:numPr>
                <w:ilvl w:val="0"/>
                <w:numId w:val="53"/>
              </w:numPr>
              <w:spacing w:line="240" w:lineRule="auto"/>
              <w:ind w:left="288" w:hanging="288"/>
              <w:contextualSpacing/>
              <w:rPr>
                <w:sz w:val="20"/>
                <w:szCs w:val="20"/>
              </w:rPr>
            </w:pPr>
            <w:r>
              <w:rPr>
                <w:sz w:val="20"/>
                <w:szCs w:val="20"/>
              </w:rPr>
              <w:t xml:space="preserve">Stock persediaan </w:t>
            </w:r>
          </w:p>
          <w:p>
            <w:pPr>
              <w:numPr>
                <w:ilvl w:val="0"/>
                <w:numId w:val="53"/>
              </w:numPr>
              <w:spacing w:line="240" w:lineRule="auto"/>
              <w:ind w:left="288" w:hanging="288"/>
              <w:contextualSpacing/>
              <w:rPr>
                <w:sz w:val="20"/>
                <w:szCs w:val="20"/>
              </w:rPr>
            </w:pPr>
            <w:r>
              <w:rPr>
                <w:sz w:val="20"/>
                <w:szCs w:val="20"/>
              </w:rPr>
              <w:t>Renovasi</w:t>
            </w:r>
          </w:p>
          <w:p>
            <w:pPr>
              <w:pStyle w:val="28"/>
              <w:spacing w:after="0" w:line="240" w:lineRule="auto"/>
              <w:ind w:left="0"/>
              <w:rPr>
                <w:sz w:val="20"/>
                <w:szCs w:val="20"/>
              </w:rPr>
            </w:pPr>
            <w:r>
              <w:rPr>
                <w:sz w:val="20"/>
                <w:szCs w:val="20"/>
              </w:rPr>
              <w:t>Pengembangan</w:t>
            </w:r>
          </w:p>
          <w:p>
            <w:pPr>
              <w:numPr>
                <w:ilvl w:val="0"/>
                <w:numId w:val="53"/>
              </w:numPr>
              <w:spacing w:line="240" w:lineRule="auto"/>
              <w:ind w:left="288" w:hanging="288"/>
              <w:contextualSpacing/>
              <w:rPr>
                <w:sz w:val="20"/>
                <w:szCs w:val="20"/>
              </w:rPr>
            </w:pPr>
            <w:r>
              <w:rPr>
                <w:sz w:val="20"/>
                <w:szCs w:val="20"/>
              </w:rPr>
              <w:t>Peremajaan</w:t>
            </w:r>
          </w:p>
          <w:p>
            <w:pPr>
              <w:numPr>
                <w:ilvl w:val="0"/>
                <w:numId w:val="53"/>
              </w:numPr>
              <w:spacing w:line="240" w:lineRule="auto"/>
              <w:ind w:left="288" w:hanging="288"/>
              <w:contextualSpacing/>
              <w:rPr>
                <w:sz w:val="20"/>
                <w:szCs w:val="20"/>
              </w:rPr>
            </w:pPr>
            <w:r>
              <w:rPr>
                <w:sz w:val="20"/>
                <w:szCs w:val="20"/>
              </w:rPr>
              <w:t>Penambahan</w:t>
            </w:r>
          </w:p>
          <w:p>
            <w:pPr>
              <w:numPr>
                <w:ilvl w:val="0"/>
                <w:numId w:val="53"/>
              </w:numPr>
              <w:spacing w:line="240" w:lineRule="auto"/>
              <w:ind w:left="288" w:hanging="288"/>
              <w:contextualSpacing/>
              <w:rPr>
                <w:sz w:val="20"/>
                <w:szCs w:val="20"/>
              </w:rPr>
            </w:pPr>
            <w:r>
              <w:rPr>
                <w:sz w:val="20"/>
                <w:szCs w:val="20"/>
              </w:rPr>
              <w:t xml:space="preserve">Penghapusan </w:t>
            </w:r>
          </w:p>
          <w:p>
            <w:pPr>
              <w:spacing w:line="240" w:lineRule="auto"/>
              <w:ind w:left="288" w:hanging="288"/>
              <w:contextualSpacing/>
              <w:rPr>
                <w:sz w:val="20"/>
                <w:szCs w:val="20"/>
              </w:rPr>
            </w:pPr>
          </w:p>
        </w:tc>
        <w:tc>
          <w:tcPr>
            <w:tcW w:w="2552" w:type="dxa"/>
            <w:shd w:val="clear" w:color="auto" w:fill="auto"/>
          </w:tcPr>
          <w:p>
            <w:pPr>
              <w:spacing w:after="0" w:line="240" w:lineRule="auto"/>
              <w:rPr>
                <w:sz w:val="20"/>
                <w:szCs w:val="20"/>
              </w:rPr>
            </w:pPr>
            <w:r>
              <w:rPr>
                <w:sz w:val="20"/>
                <w:szCs w:val="20"/>
              </w:rPr>
              <w:t>Pemeliharaan  SIM asset RSHS dan FK Unpad yang terintegrasi</w:t>
            </w:r>
          </w:p>
          <w:p>
            <w:pPr>
              <w:numPr>
                <w:ilvl w:val="0"/>
                <w:numId w:val="53"/>
              </w:numPr>
              <w:spacing w:line="240" w:lineRule="auto"/>
              <w:ind w:left="288" w:hanging="288"/>
              <w:contextualSpacing/>
              <w:rPr>
                <w:sz w:val="20"/>
                <w:szCs w:val="20"/>
              </w:rPr>
            </w:pPr>
            <w:r>
              <w:rPr>
                <w:sz w:val="20"/>
                <w:szCs w:val="20"/>
              </w:rPr>
              <w:t>Pemeliharaan dan pengembangan</w:t>
            </w:r>
          </w:p>
          <w:p>
            <w:pPr>
              <w:numPr>
                <w:ilvl w:val="0"/>
                <w:numId w:val="53"/>
              </w:numPr>
              <w:spacing w:line="240" w:lineRule="auto"/>
              <w:ind w:left="288" w:hanging="288"/>
              <w:contextualSpacing/>
              <w:rPr>
                <w:sz w:val="20"/>
                <w:szCs w:val="20"/>
              </w:rPr>
            </w:pPr>
            <w:r>
              <w:rPr>
                <w:sz w:val="20"/>
                <w:szCs w:val="20"/>
              </w:rPr>
              <w:t>Monev</w:t>
            </w:r>
          </w:p>
          <w:p>
            <w:pPr>
              <w:pStyle w:val="28"/>
              <w:spacing w:after="0" w:line="240" w:lineRule="auto"/>
              <w:ind w:left="0"/>
              <w:contextualSpacing w:val="0"/>
              <w:rPr>
                <w:sz w:val="20"/>
                <w:szCs w:val="20"/>
              </w:rPr>
            </w:pPr>
            <w:r>
              <w:rPr>
                <w:sz w:val="20"/>
                <w:szCs w:val="20"/>
              </w:rPr>
              <w:t>Pemeliharaan Sarpras</w:t>
            </w:r>
          </w:p>
          <w:p>
            <w:pPr>
              <w:numPr>
                <w:ilvl w:val="0"/>
                <w:numId w:val="53"/>
              </w:numPr>
              <w:spacing w:line="240" w:lineRule="auto"/>
              <w:ind w:left="288" w:hanging="288"/>
              <w:contextualSpacing/>
              <w:rPr>
                <w:sz w:val="20"/>
                <w:szCs w:val="20"/>
              </w:rPr>
            </w:pPr>
            <w:r>
              <w:rPr>
                <w:sz w:val="20"/>
                <w:szCs w:val="20"/>
              </w:rPr>
              <w:t>Kalibrasi</w:t>
            </w:r>
          </w:p>
          <w:p>
            <w:pPr>
              <w:numPr>
                <w:ilvl w:val="0"/>
                <w:numId w:val="53"/>
              </w:numPr>
              <w:spacing w:line="240" w:lineRule="auto"/>
              <w:ind w:left="288" w:hanging="288"/>
              <w:contextualSpacing/>
              <w:rPr>
                <w:sz w:val="20"/>
                <w:szCs w:val="20"/>
              </w:rPr>
            </w:pPr>
            <w:r>
              <w:rPr>
                <w:sz w:val="20"/>
                <w:szCs w:val="20"/>
              </w:rPr>
              <w:t>Pemutakhiran Alat</w:t>
            </w:r>
          </w:p>
          <w:p>
            <w:pPr>
              <w:numPr>
                <w:ilvl w:val="0"/>
                <w:numId w:val="53"/>
              </w:numPr>
              <w:spacing w:line="240" w:lineRule="auto"/>
              <w:ind w:left="288" w:hanging="288"/>
              <w:contextualSpacing/>
              <w:rPr>
                <w:sz w:val="20"/>
                <w:szCs w:val="20"/>
              </w:rPr>
            </w:pPr>
            <w:r>
              <w:rPr>
                <w:sz w:val="20"/>
                <w:szCs w:val="20"/>
              </w:rPr>
              <w:t xml:space="preserve">Stock persediaan </w:t>
            </w:r>
          </w:p>
          <w:p>
            <w:pPr>
              <w:numPr>
                <w:ilvl w:val="0"/>
                <w:numId w:val="53"/>
              </w:numPr>
              <w:spacing w:line="240" w:lineRule="auto"/>
              <w:ind w:left="288" w:hanging="288"/>
              <w:contextualSpacing/>
              <w:rPr>
                <w:sz w:val="20"/>
                <w:szCs w:val="20"/>
              </w:rPr>
            </w:pPr>
            <w:r>
              <w:rPr>
                <w:sz w:val="20"/>
                <w:szCs w:val="20"/>
              </w:rPr>
              <w:t>Renovasi</w:t>
            </w:r>
          </w:p>
          <w:p>
            <w:pPr>
              <w:pStyle w:val="28"/>
              <w:spacing w:after="0" w:line="240" w:lineRule="auto"/>
              <w:ind w:left="0"/>
              <w:rPr>
                <w:sz w:val="20"/>
                <w:szCs w:val="20"/>
              </w:rPr>
            </w:pPr>
            <w:r>
              <w:rPr>
                <w:sz w:val="20"/>
                <w:szCs w:val="20"/>
              </w:rPr>
              <w:t>Pengembangan</w:t>
            </w:r>
          </w:p>
          <w:p>
            <w:pPr>
              <w:numPr>
                <w:ilvl w:val="0"/>
                <w:numId w:val="53"/>
              </w:numPr>
              <w:spacing w:line="240" w:lineRule="auto"/>
              <w:ind w:left="288" w:hanging="288"/>
              <w:contextualSpacing/>
              <w:rPr>
                <w:sz w:val="20"/>
                <w:szCs w:val="20"/>
              </w:rPr>
            </w:pPr>
            <w:r>
              <w:rPr>
                <w:sz w:val="20"/>
                <w:szCs w:val="20"/>
              </w:rPr>
              <w:t>Peremajaan</w:t>
            </w:r>
          </w:p>
          <w:p>
            <w:pPr>
              <w:numPr>
                <w:ilvl w:val="0"/>
                <w:numId w:val="53"/>
              </w:numPr>
              <w:spacing w:line="240" w:lineRule="auto"/>
              <w:ind w:left="288" w:hanging="288"/>
              <w:contextualSpacing/>
              <w:rPr>
                <w:sz w:val="20"/>
                <w:szCs w:val="20"/>
              </w:rPr>
            </w:pPr>
            <w:r>
              <w:rPr>
                <w:sz w:val="20"/>
                <w:szCs w:val="20"/>
              </w:rPr>
              <w:t>Penambahan</w:t>
            </w:r>
          </w:p>
          <w:p>
            <w:pPr>
              <w:numPr>
                <w:ilvl w:val="0"/>
                <w:numId w:val="53"/>
              </w:numPr>
              <w:spacing w:line="240" w:lineRule="auto"/>
              <w:ind w:left="288" w:hanging="288"/>
              <w:contextualSpacing/>
              <w:rPr>
                <w:sz w:val="20"/>
                <w:szCs w:val="20"/>
              </w:rPr>
            </w:pPr>
            <w:r>
              <w:rPr>
                <w:sz w:val="20"/>
                <w:szCs w:val="20"/>
              </w:rPr>
              <w:t xml:space="preserve">Penghapusan </w:t>
            </w:r>
          </w:p>
          <w:p>
            <w:pPr>
              <w:spacing w:line="240" w:lineRule="auto"/>
              <w:ind w:left="288" w:hanging="288"/>
              <w:contextualSpacing/>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17</w:t>
            </w:r>
          </w:p>
        </w:tc>
        <w:tc>
          <w:tcPr>
            <w:tcW w:w="1790" w:type="dxa"/>
            <w:shd w:val="clear" w:color="auto" w:fill="auto"/>
          </w:tcPr>
          <w:p>
            <w:pPr>
              <w:spacing w:line="240" w:lineRule="auto"/>
              <w:rPr>
                <w:color w:val="000000"/>
                <w:sz w:val="20"/>
                <w:szCs w:val="20"/>
              </w:rPr>
            </w:pPr>
            <w:r>
              <w:rPr>
                <w:color w:val="000000"/>
                <w:sz w:val="20"/>
                <w:szCs w:val="20"/>
              </w:rPr>
              <w:t>% kasus ditangani DPJP</w:t>
            </w:r>
          </w:p>
        </w:tc>
        <w:tc>
          <w:tcPr>
            <w:tcW w:w="2551" w:type="dxa"/>
            <w:shd w:val="clear" w:color="auto" w:fill="auto"/>
          </w:tcPr>
          <w:p>
            <w:pPr>
              <w:spacing w:line="240" w:lineRule="auto"/>
              <w:rPr>
                <w:bCs/>
                <w:color w:val="000000"/>
                <w:sz w:val="20"/>
                <w:szCs w:val="20"/>
              </w:rPr>
            </w:pPr>
            <w:r>
              <w:rPr>
                <w:bCs/>
                <w:color w:val="000000"/>
                <w:sz w:val="20"/>
                <w:szCs w:val="20"/>
              </w:rPr>
              <w:t xml:space="preserve">Program DPJP 100 % </w:t>
            </w:r>
          </w:p>
          <w:p>
            <w:pPr>
              <w:spacing w:line="240" w:lineRule="auto"/>
              <w:rPr>
                <w:bCs/>
                <w:color w:val="000000"/>
                <w:sz w:val="20"/>
                <w:szCs w:val="20"/>
              </w:rPr>
            </w:pPr>
            <w:r>
              <w:rPr>
                <w:bCs/>
                <w:color w:val="000000"/>
                <w:sz w:val="20"/>
                <w:szCs w:val="20"/>
              </w:rPr>
              <w:t>Pemetaan program base line/RJA</w:t>
            </w:r>
          </w:p>
          <w:p>
            <w:pPr>
              <w:spacing w:line="240" w:lineRule="auto"/>
              <w:rPr>
                <w:bCs/>
                <w:color w:val="000000"/>
                <w:sz w:val="20"/>
                <w:szCs w:val="20"/>
              </w:rPr>
            </w:pPr>
            <w:r>
              <w:rPr>
                <w:bCs/>
                <w:color w:val="000000"/>
                <w:sz w:val="20"/>
                <w:szCs w:val="20"/>
              </w:rPr>
              <w:t>Penyempurnaan kebijakan, regulasi dan SPO tentang hak dan kewajiban DPJP oleh Team ad-hoc</w:t>
            </w:r>
          </w:p>
        </w:tc>
        <w:tc>
          <w:tcPr>
            <w:tcW w:w="2552" w:type="dxa"/>
            <w:shd w:val="clear" w:color="auto" w:fill="auto"/>
          </w:tcPr>
          <w:p>
            <w:pPr>
              <w:spacing w:line="240" w:lineRule="auto"/>
              <w:ind w:right="51"/>
              <w:rPr>
                <w:sz w:val="20"/>
                <w:szCs w:val="20"/>
              </w:rPr>
            </w:pPr>
            <w:r>
              <w:rPr>
                <w:sz w:val="20"/>
                <w:szCs w:val="20"/>
              </w:rPr>
              <w:t>Keberlangsungan DPJP 100% serta evaluasi dan monitoring</w:t>
            </w:r>
          </w:p>
          <w:p>
            <w:pPr>
              <w:spacing w:after="0" w:line="240" w:lineRule="auto"/>
              <w:ind w:right="58"/>
              <w:rPr>
                <w:sz w:val="20"/>
                <w:szCs w:val="20"/>
              </w:rPr>
            </w:pPr>
            <w:r>
              <w:rPr>
                <w:sz w:val="20"/>
                <w:szCs w:val="20"/>
              </w:rPr>
              <w:t>Sarana dan prasarana</w:t>
            </w:r>
          </w:p>
          <w:p>
            <w:pPr>
              <w:numPr>
                <w:ilvl w:val="0"/>
                <w:numId w:val="54"/>
              </w:numPr>
              <w:tabs>
                <w:tab w:val="clear" w:pos="720"/>
              </w:tabs>
              <w:spacing w:line="240" w:lineRule="auto"/>
              <w:ind w:left="288" w:right="58" w:hanging="288"/>
              <w:contextualSpacing/>
              <w:rPr>
                <w:sz w:val="20"/>
                <w:szCs w:val="20"/>
              </w:rPr>
            </w:pPr>
            <w:r>
              <w:rPr>
                <w:sz w:val="20"/>
                <w:szCs w:val="20"/>
              </w:rPr>
              <w:t>Maintenance Absens ibiometrik</w:t>
            </w:r>
          </w:p>
          <w:p>
            <w:pPr>
              <w:numPr>
                <w:ilvl w:val="0"/>
                <w:numId w:val="54"/>
              </w:numPr>
              <w:tabs>
                <w:tab w:val="clear" w:pos="720"/>
              </w:tabs>
              <w:spacing w:line="240" w:lineRule="auto"/>
              <w:ind w:left="288" w:right="58" w:hanging="288"/>
              <w:contextualSpacing/>
              <w:rPr>
                <w:sz w:val="20"/>
                <w:szCs w:val="20"/>
              </w:rPr>
            </w:pPr>
            <w:r>
              <w:rPr>
                <w:sz w:val="20"/>
                <w:szCs w:val="20"/>
              </w:rPr>
              <w:t>Pengadaan Sistem kupon pelayanan</w:t>
            </w:r>
          </w:p>
          <w:p>
            <w:pPr>
              <w:spacing w:line="240" w:lineRule="auto"/>
              <w:ind w:right="58"/>
              <w:contextualSpacing/>
              <w:rPr>
                <w:sz w:val="20"/>
                <w:szCs w:val="20"/>
              </w:rPr>
            </w:pPr>
          </w:p>
        </w:tc>
        <w:tc>
          <w:tcPr>
            <w:tcW w:w="2409" w:type="dxa"/>
            <w:shd w:val="clear" w:color="auto" w:fill="auto"/>
          </w:tcPr>
          <w:p>
            <w:pPr>
              <w:spacing w:line="240" w:lineRule="auto"/>
              <w:ind w:right="51"/>
              <w:rPr>
                <w:sz w:val="20"/>
                <w:szCs w:val="20"/>
              </w:rPr>
            </w:pPr>
            <w:r>
              <w:rPr>
                <w:sz w:val="20"/>
                <w:szCs w:val="20"/>
              </w:rPr>
              <w:t>Keberlangsungan DPJP 100% serta evaluasi dan monitoring</w:t>
            </w:r>
          </w:p>
          <w:p>
            <w:pPr>
              <w:spacing w:after="0" w:line="240" w:lineRule="auto"/>
              <w:ind w:right="58"/>
              <w:rPr>
                <w:sz w:val="20"/>
                <w:szCs w:val="20"/>
              </w:rPr>
            </w:pPr>
            <w:r>
              <w:rPr>
                <w:sz w:val="20"/>
                <w:szCs w:val="20"/>
              </w:rPr>
              <w:t>Sarana dan prasarana</w:t>
            </w:r>
          </w:p>
          <w:p>
            <w:pPr>
              <w:numPr>
                <w:ilvl w:val="0"/>
                <w:numId w:val="54"/>
              </w:numPr>
              <w:tabs>
                <w:tab w:val="clear" w:pos="720"/>
              </w:tabs>
              <w:spacing w:line="240" w:lineRule="auto"/>
              <w:ind w:left="288" w:right="58" w:hanging="288"/>
              <w:contextualSpacing/>
              <w:rPr>
                <w:sz w:val="20"/>
                <w:szCs w:val="20"/>
              </w:rPr>
            </w:pPr>
            <w:r>
              <w:rPr>
                <w:sz w:val="20"/>
                <w:szCs w:val="20"/>
              </w:rPr>
              <w:t>Maintenance Absens ibiometrik</w:t>
            </w:r>
          </w:p>
          <w:p>
            <w:pPr>
              <w:numPr>
                <w:ilvl w:val="0"/>
                <w:numId w:val="54"/>
              </w:numPr>
              <w:tabs>
                <w:tab w:val="clear" w:pos="720"/>
              </w:tabs>
              <w:spacing w:line="240" w:lineRule="auto"/>
              <w:ind w:left="288" w:right="58" w:hanging="288"/>
              <w:contextualSpacing/>
              <w:rPr>
                <w:sz w:val="20"/>
                <w:szCs w:val="20"/>
              </w:rPr>
            </w:pPr>
            <w:r>
              <w:rPr>
                <w:sz w:val="20"/>
                <w:szCs w:val="20"/>
              </w:rPr>
              <w:t>Pengadaan Sistem kupon pelayanan</w:t>
            </w:r>
          </w:p>
          <w:p>
            <w:pPr>
              <w:numPr>
                <w:ilvl w:val="0"/>
                <w:numId w:val="54"/>
              </w:numPr>
              <w:tabs>
                <w:tab w:val="clear" w:pos="720"/>
              </w:tabs>
              <w:spacing w:line="240" w:lineRule="auto"/>
              <w:ind w:left="288" w:right="58" w:hanging="288"/>
              <w:contextualSpacing/>
              <w:rPr>
                <w:sz w:val="20"/>
                <w:szCs w:val="20"/>
              </w:rPr>
            </w:pPr>
          </w:p>
        </w:tc>
        <w:tc>
          <w:tcPr>
            <w:tcW w:w="2410" w:type="dxa"/>
            <w:shd w:val="clear" w:color="auto" w:fill="auto"/>
          </w:tcPr>
          <w:p>
            <w:pPr>
              <w:spacing w:line="240" w:lineRule="auto"/>
              <w:ind w:right="51"/>
              <w:rPr>
                <w:sz w:val="20"/>
                <w:szCs w:val="20"/>
              </w:rPr>
            </w:pPr>
            <w:r>
              <w:rPr>
                <w:sz w:val="20"/>
                <w:szCs w:val="20"/>
              </w:rPr>
              <w:t>Keberlangsungan DPJP 100% serta evaluasi dan monitoring</w:t>
            </w:r>
          </w:p>
          <w:p>
            <w:pPr>
              <w:spacing w:after="0" w:line="240" w:lineRule="auto"/>
              <w:ind w:right="58"/>
              <w:rPr>
                <w:sz w:val="20"/>
                <w:szCs w:val="20"/>
              </w:rPr>
            </w:pPr>
            <w:r>
              <w:rPr>
                <w:sz w:val="20"/>
                <w:szCs w:val="20"/>
              </w:rPr>
              <w:t>Sarana dan prasarana</w:t>
            </w:r>
          </w:p>
          <w:p>
            <w:pPr>
              <w:numPr>
                <w:ilvl w:val="0"/>
                <w:numId w:val="54"/>
              </w:numPr>
              <w:tabs>
                <w:tab w:val="clear" w:pos="720"/>
              </w:tabs>
              <w:spacing w:line="240" w:lineRule="auto"/>
              <w:ind w:left="288" w:right="58" w:hanging="288"/>
              <w:contextualSpacing/>
              <w:rPr>
                <w:sz w:val="20"/>
                <w:szCs w:val="20"/>
              </w:rPr>
            </w:pPr>
            <w:r>
              <w:rPr>
                <w:sz w:val="20"/>
                <w:szCs w:val="20"/>
              </w:rPr>
              <w:t>Maintenance Absens ibiometrik</w:t>
            </w:r>
          </w:p>
          <w:p>
            <w:pPr>
              <w:numPr>
                <w:ilvl w:val="0"/>
                <w:numId w:val="54"/>
              </w:numPr>
              <w:tabs>
                <w:tab w:val="clear" w:pos="720"/>
              </w:tabs>
              <w:spacing w:line="240" w:lineRule="auto"/>
              <w:ind w:left="288" w:right="58" w:hanging="288"/>
              <w:contextualSpacing/>
              <w:rPr>
                <w:sz w:val="20"/>
                <w:szCs w:val="20"/>
              </w:rPr>
            </w:pPr>
            <w:r>
              <w:rPr>
                <w:sz w:val="20"/>
                <w:szCs w:val="20"/>
              </w:rPr>
              <w:t>Pengadaan Sistem kupon pelayanan</w:t>
            </w:r>
          </w:p>
          <w:p>
            <w:pPr>
              <w:numPr>
                <w:ilvl w:val="0"/>
                <w:numId w:val="54"/>
              </w:numPr>
              <w:tabs>
                <w:tab w:val="clear" w:pos="720"/>
              </w:tabs>
              <w:spacing w:line="240" w:lineRule="auto"/>
              <w:ind w:left="288" w:right="58" w:hanging="288"/>
              <w:contextualSpacing/>
              <w:rPr>
                <w:sz w:val="20"/>
                <w:szCs w:val="20"/>
              </w:rPr>
            </w:pPr>
          </w:p>
        </w:tc>
        <w:tc>
          <w:tcPr>
            <w:tcW w:w="2552" w:type="dxa"/>
            <w:shd w:val="clear" w:color="auto" w:fill="auto"/>
          </w:tcPr>
          <w:p>
            <w:pPr>
              <w:spacing w:line="240" w:lineRule="auto"/>
              <w:ind w:right="51"/>
              <w:rPr>
                <w:sz w:val="20"/>
                <w:szCs w:val="20"/>
              </w:rPr>
            </w:pPr>
            <w:r>
              <w:rPr>
                <w:sz w:val="20"/>
                <w:szCs w:val="20"/>
              </w:rPr>
              <w:t>Keberlangsungan DPJP 100% serta evaluasi dan monitoring</w:t>
            </w:r>
          </w:p>
          <w:p>
            <w:pPr>
              <w:spacing w:after="0" w:line="240" w:lineRule="auto"/>
              <w:ind w:right="58"/>
              <w:rPr>
                <w:sz w:val="20"/>
                <w:szCs w:val="20"/>
              </w:rPr>
            </w:pPr>
            <w:r>
              <w:rPr>
                <w:sz w:val="20"/>
                <w:szCs w:val="20"/>
              </w:rPr>
              <w:t>Sarana dan prasarana</w:t>
            </w:r>
          </w:p>
          <w:p>
            <w:pPr>
              <w:numPr>
                <w:ilvl w:val="0"/>
                <w:numId w:val="54"/>
              </w:numPr>
              <w:tabs>
                <w:tab w:val="clear" w:pos="720"/>
              </w:tabs>
              <w:spacing w:line="240" w:lineRule="auto"/>
              <w:ind w:left="288" w:right="58" w:hanging="288"/>
              <w:contextualSpacing/>
              <w:rPr>
                <w:sz w:val="20"/>
                <w:szCs w:val="20"/>
              </w:rPr>
            </w:pPr>
            <w:r>
              <w:rPr>
                <w:sz w:val="20"/>
                <w:szCs w:val="20"/>
              </w:rPr>
              <w:t>Maintenance Absens ibiometrik</w:t>
            </w:r>
          </w:p>
          <w:p>
            <w:pPr>
              <w:numPr>
                <w:ilvl w:val="0"/>
                <w:numId w:val="54"/>
              </w:numPr>
              <w:tabs>
                <w:tab w:val="clear" w:pos="720"/>
              </w:tabs>
              <w:spacing w:line="240" w:lineRule="auto"/>
              <w:ind w:left="288" w:right="58" w:hanging="288"/>
              <w:contextualSpacing/>
              <w:rPr>
                <w:sz w:val="20"/>
                <w:szCs w:val="20"/>
              </w:rPr>
            </w:pPr>
            <w:r>
              <w:rPr>
                <w:sz w:val="20"/>
                <w:szCs w:val="20"/>
              </w:rPr>
              <w:t>Pengadaan Sistem kupon pelayanan</w:t>
            </w:r>
          </w:p>
          <w:p>
            <w:pPr>
              <w:numPr>
                <w:ilvl w:val="0"/>
                <w:numId w:val="54"/>
              </w:numPr>
              <w:tabs>
                <w:tab w:val="clear" w:pos="720"/>
              </w:tabs>
              <w:spacing w:line="240" w:lineRule="auto"/>
              <w:ind w:left="288" w:right="58" w:hanging="288"/>
              <w:contextualSpacing/>
              <w:rPr>
                <w:sz w:val="20"/>
                <w:szCs w:val="20"/>
              </w:rPr>
            </w:pP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p>
        </w:tc>
        <w:tc>
          <w:tcPr>
            <w:tcW w:w="1790" w:type="dxa"/>
            <w:shd w:val="clear" w:color="auto" w:fill="auto"/>
          </w:tcPr>
          <w:p>
            <w:pPr>
              <w:spacing w:after="120" w:line="240" w:lineRule="auto"/>
              <w:rPr>
                <w:color w:val="000000"/>
                <w:sz w:val="20"/>
                <w:szCs w:val="20"/>
              </w:rPr>
            </w:pPr>
            <w:r>
              <w:rPr>
                <w:color w:val="000000"/>
                <w:sz w:val="20"/>
                <w:szCs w:val="20"/>
              </w:rPr>
              <w:t>% kasus ditangani DPJP</w:t>
            </w:r>
          </w:p>
        </w:tc>
        <w:tc>
          <w:tcPr>
            <w:tcW w:w="2551" w:type="dxa"/>
            <w:shd w:val="clear" w:color="auto" w:fill="auto"/>
          </w:tcPr>
          <w:p>
            <w:pPr>
              <w:spacing w:after="60" w:line="240" w:lineRule="auto"/>
              <w:rPr>
                <w:bCs/>
                <w:color w:val="000000"/>
                <w:sz w:val="20"/>
                <w:szCs w:val="20"/>
              </w:rPr>
            </w:pPr>
            <w:r>
              <w:rPr>
                <w:bCs/>
                <w:color w:val="000000"/>
                <w:sz w:val="20"/>
                <w:szCs w:val="20"/>
              </w:rPr>
              <w:t>Workshop implementasi DPJP RS-FK</w:t>
            </w:r>
          </w:p>
          <w:p>
            <w:pPr>
              <w:spacing w:after="60" w:line="240" w:lineRule="auto"/>
              <w:rPr>
                <w:bCs/>
                <w:color w:val="000000"/>
                <w:sz w:val="20"/>
                <w:szCs w:val="20"/>
              </w:rPr>
            </w:pPr>
          </w:p>
          <w:p>
            <w:pPr>
              <w:spacing w:after="60" w:line="240" w:lineRule="auto"/>
              <w:rPr>
                <w:bCs/>
                <w:color w:val="000000"/>
                <w:sz w:val="20"/>
                <w:szCs w:val="20"/>
              </w:rPr>
            </w:pPr>
            <w:r>
              <w:rPr>
                <w:bCs/>
                <w:color w:val="000000"/>
                <w:sz w:val="20"/>
                <w:szCs w:val="20"/>
              </w:rPr>
              <w:t>Penyempurnaan sistem remunerasi dan penilaian kerja terkait DPJP</w:t>
            </w:r>
          </w:p>
          <w:p>
            <w:pPr>
              <w:spacing w:after="60" w:line="240" w:lineRule="auto"/>
              <w:rPr>
                <w:bCs/>
                <w:color w:val="000000"/>
                <w:sz w:val="20"/>
                <w:szCs w:val="20"/>
              </w:rPr>
            </w:pPr>
          </w:p>
          <w:p>
            <w:pPr>
              <w:spacing w:after="60" w:line="240" w:lineRule="auto"/>
              <w:rPr>
                <w:bCs/>
                <w:color w:val="000000"/>
                <w:sz w:val="20"/>
                <w:szCs w:val="20"/>
              </w:rPr>
            </w:pPr>
            <w:r>
              <w:rPr>
                <w:bCs/>
                <w:color w:val="000000"/>
                <w:sz w:val="20"/>
                <w:szCs w:val="20"/>
              </w:rPr>
              <w:t>Workshop implementasi DPJP dengan SMF</w:t>
            </w:r>
          </w:p>
          <w:p>
            <w:pPr>
              <w:spacing w:after="60" w:line="240" w:lineRule="auto"/>
              <w:rPr>
                <w:bCs/>
                <w:color w:val="000000"/>
                <w:sz w:val="20"/>
                <w:szCs w:val="20"/>
              </w:rPr>
            </w:pPr>
          </w:p>
          <w:p>
            <w:pPr>
              <w:spacing w:after="60" w:line="240" w:lineRule="auto"/>
              <w:rPr>
                <w:bCs/>
                <w:color w:val="000000"/>
                <w:sz w:val="20"/>
                <w:szCs w:val="20"/>
              </w:rPr>
            </w:pPr>
            <w:r>
              <w:rPr>
                <w:bCs/>
                <w:color w:val="000000"/>
                <w:sz w:val="20"/>
                <w:szCs w:val="20"/>
              </w:rPr>
              <w:t>Pengadaan sarana untuk evaluasi</w:t>
            </w:r>
          </w:p>
          <w:p>
            <w:pPr>
              <w:numPr>
                <w:ilvl w:val="0"/>
                <w:numId w:val="55"/>
              </w:numPr>
              <w:spacing w:after="60" w:line="240" w:lineRule="auto"/>
              <w:ind w:left="0"/>
              <w:rPr>
                <w:bCs/>
                <w:color w:val="000000"/>
                <w:sz w:val="20"/>
                <w:szCs w:val="20"/>
              </w:rPr>
            </w:pPr>
          </w:p>
          <w:p>
            <w:pPr>
              <w:numPr>
                <w:ilvl w:val="0"/>
                <w:numId w:val="55"/>
              </w:numPr>
              <w:spacing w:after="60" w:line="240" w:lineRule="auto"/>
              <w:ind w:left="0"/>
              <w:rPr>
                <w:bCs/>
                <w:color w:val="000000"/>
                <w:sz w:val="20"/>
                <w:szCs w:val="20"/>
              </w:rPr>
            </w:pPr>
            <w:r>
              <w:rPr>
                <w:bCs/>
                <w:color w:val="000000"/>
                <w:sz w:val="20"/>
                <w:szCs w:val="20"/>
              </w:rPr>
              <w:t>Absens ibiometrik</w:t>
            </w:r>
          </w:p>
          <w:p>
            <w:pPr>
              <w:numPr>
                <w:ilvl w:val="0"/>
                <w:numId w:val="55"/>
              </w:numPr>
              <w:spacing w:after="60" w:line="240" w:lineRule="auto"/>
              <w:ind w:left="0"/>
              <w:rPr>
                <w:bCs/>
                <w:color w:val="000000"/>
                <w:sz w:val="20"/>
                <w:szCs w:val="20"/>
              </w:rPr>
            </w:pPr>
          </w:p>
          <w:p>
            <w:pPr>
              <w:numPr>
                <w:ilvl w:val="0"/>
                <w:numId w:val="55"/>
              </w:numPr>
              <w:spacing w:after="60" w:line="240" w:lineRule="auto"/>
              <w:ind w:left="0"/>
              <w:rPr>
                <w:bCs/>
                <w:color w:val="000000"/>
                <w:sz w:val="20"/>
                <w:szCs w:val="20"/>
              </w:rPr>
            </w:pPr>
            <w:r>
              <w:rPr>
                <w:bCs/>
                <w:color w:val="000000"/>
                <w:sz w:val="20"/>
                <w:szCs w:val="20"/>
              </w:rPr>
              <w:t>Sistem kupon pelayanan/tahun</w:t>
            </w:r>
          </w:p>
          <w:p>
            <w:pPr>
              <w:numPr>
                <w:ilvl w:val="0"/>
                <w:numId w:val="55"/>
              </w:numPr>
              <w:spacing w:after="60" w:line="240" w:lineRule="auto"/>
              <w:ind w:left="0"/>
              <w:rPr>
                <w:bCs/>
                <w:color w:val="000000"/>
                <w:sz w:val="20"/>
                <w:szCs w:val="20"/>
              </w:rPr>
            </w:pPr>
            <w:r>
              <w:rPr>
                <w:bCs/>
                <w:color w:val="000000"/>
                <w:sz w:val="20"/>
                <w:szCs w:val="20"/>
              </w:rPr>
              <w:t>Reengineering sistem informasi kepegawaian:</w:t>
            </w:r>
          </w:p>
          <w:p>
            <w:pPr>
              <w:numPr>
                <w:ilvl w:val="0"/>
                <w:numId w:val="56"/>
              </w:numPr>
              <w:spacing w:after="60" w:line="240" w:lineRule="auto"/>
              <w:ind w:left="0"/>
              <w:rPr>
                <w:bCs/>
                <w:color w:val="000000"/>
                <w:sz w:val="20"/>
                <w:szCs w:val="20"/>
              </w:rPr>
            </w:pPr>
          </w:p>
          <w:p>
            <w:pPr>
              <w:numPr>
                <w:ilvl w:val="0"/>
                <w:numId w:val="56"/>
              </w:numPr>
              <w:spacing w:after="60" w:line="240" w:lineRule="auto"/>
              <w:ind w:left="0"/>
              <w:rPr>
                <w:bCs/>
                <w:color w:val="000000"/>
                <w:sz w:val="20"/>
                <w:szCs w:val="20"/>
              </w:rPr>
            </w:pPr>
            <w:r>
              <w:rPr>
                <w:bCs/>
                <w:color w:val="000000"/>
                <w:sz w:val="20"/>
                <w:szCs w:val="20"/>
              </w:rPr>
              <w:t>Pengembangan sistem informasi kepegawaian webbased</w:t>
            </w:r>
          </w:p>
          <w:p>
            <w:pPr>
              <w:numPr>
                <w:ilvl w:val="0"/>
                <w:numId w:val="56"/>
              </w:numPr>
              <w:spacing w:after="60" w:line="240" w:lineRule="auto"/>
              <w:ind w:left="0"/>
              <w:rPr>
                <w:bCs/>
                <w:color w:val="000000"/>
                <w:sz w:val="20"/>
                <w:szCs w:val="20"/>
              </w:rPr>
            </w:pPr>
          </w:p>
          <w:p>
            <w:pPr>
              <w:numPr>
                <w:ilvl w:val="0"/>
                <w:numId w:val="56"/>
              </w:numPr>
              <w:spacing w:after="60" w:line="240" w:lineRule="auto"/>
              <w:ind w:left="0"/>
              <w:rPr>
                <w:bCs/>
                <w:color w:val="000000"/>
                <w:sz w:val="20"/>
                <w:szCs w:val="20"/>
              </w:rPr>
            </w:pPr>
            <w:r>
              <w:rPr>
                <w:bCs/>
                <w:color w:val="000000"/>
                <w:sz w:val="20"/>
                <w:szCs w:val="20"/>
              </w:rPr>
              <w:t xml:space="preserve">Sistem remunerasi terintegrasi dengan absensi biometric  </w:t>
            </w:r>
          </w:p>
          <w:p>
            <w:pPr>
              <w:spacing w:after="60" w:line="240" w:lineRule="auto"/>
              <w:rPr>
                <w:bCs/>
                <w:color w:val="000000"/>
                <w:sz w:val="20"/>
                <w:szCs w:val="20"/>
              </w:rPr>
            </w:pPr>
          </w:p>
          <w:p>
            <w:pPr>
              <w:spacing w:after="60" w:line="240" w:lineRule="auto"/>
              <w:rPr>
                <w:bCs/>
                <w:color w:val="000000"/>
                <w:sz w:val="20"/>
                <w:szCs w:val="20"/>
              </w:rPr>
            </w:pPr>
            <w:r>
              <w:rPr>
                <w:bCs/>
                <w:color w:val="000000"/>
                <w:sz w:val="20"/>
                <w:szCs w:val="20"/>
              </w:rPr>
              <w:t>Reward</w:t>
            </w:r>
          </w:p>
        </w:tc>
        <w:tc>
          <w:tcPr>
            <w:tcW w:w="2552" w:type="dxa"/>
            <w:shd w:val="clear" w:color="auto" w:fill="auto"/>
          </w:tcPr>
          <w:p>
            <w:pPr>
              <w:numPr>
                <w:ilvl w:val="0"/>
                <w:numId w:val="54"/>
              </w:numPr>
              <w:tabs>
                <w:tab w:val="clear" w:pos="720"/>
              </w:tabs>
              <w:spacing w:after="120" w:line="240" w:lineRule="auto"/>
              <w:ind w:left="288" w:right="58" w:hanging="288"/>
              <w:rPr>
                <w:sz w:val="20"/>
                <w:szCs w:val="20"/>
              </w:rPr>
            </w:pPr>
            <w:r>
              <w:rPr>
                <w:sz w:val="20"/>
                <w:szCs w:val="20"/>
              </w:rPr>
              <w:t>Maintenance IT software system  &amp; monev &amp; reward</w:t>
            </w:r>
          </w:p>
        </w:tc>
        <w:tc>
          <w:tcPr>
            <w:tcW w:w="2409" w:type="dxa"/>
            <w:shd w:val="clear" w:color="auto" w:fill="auto"/>
          </w:tcPr>
          <w:p>
            <w:pPr>
              <w:spacing w:after="120" w:line="240" w:lineRule="auto"/>
              <w:ind w:left="278" w:right="-54" w:hanging="278"/>
              <w:rPr>
                <w:sz w:val="20"/>
                <w:szCs w:val="20"/>
              </w:rPr>
            </w:pPr>
            <w:r>
              <w:rPr>
                <w:sz w:val="20"/>
                <w:szCs w:val="20"/>
              </w:rPr>
              <w:t>Maintenance IT software system  &amp; monev &amp; reward</w:t>
            </w:r>
          </w:p>
        </w:tc>
        <w:tc>
          <w:tcPr>
            <w:tcW w:w="2410" w:type="dxa"/>
            <w:shd w:val="clear" w:color="auto" w:fill="auto"/>
          </w:tcPr>
          <w:p>
            <w:pPr>
              <w:spacing w:after="120" w:line="240" w:lineRule="auto"/>
              <w:ind w:left="282" w:hanging="282"/>
              <w:rPr>
                <w:sz w:val="20"/>
                <w:szCs w:val="20"/>
              </w:rPr>
            </w:pPr>
            <w:r>
              <w:rPr>
                <w:sz w:val="20"/>
                <w:szCs w:val="20"/>
              </w:rPr>
              <w:t>Maintenance IT software system  &amp; monev &amp; reward</w:t>
            </w:r>
          </w:p>
        </w:tc>
        <w:tc>
          <w:tcPr>
            <w:tcW w:w="2552" w:type="dxa"/>
            <w:shd w:val="clear" w:color="auto" w:fill="auto"/>
          </w:tcPr>
          <w:p>
            <w:pPr>
              <w:spacing w:after="120" w:line="240" w:lineRule="auto"/>
              <w:rPr>
                <w:sz w:val="20"/>
                <w:szCs w:val="20"/>
              </w:rPr>
            </w:pPr>
            <w:r>
              <w:rPr>
                <w:sz w:val="20"/>
                <w:szCs w:val="20"/>
              </w:rPr>
              <w:t>Maintenance IT software system  &amp; monev &amp; reward</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18</w:t>
            </w:r>
          </w:p>
        </w:tc>
        <w:tc>
          <w:tcPr>
            <w:tcW w:w="1790" w:type="dxa"/>
            <w:shd w:val="clear" w:color="auto" w:fill="auto"/>
          </w:tcPr>
          <w:p>
            <w:pPr>
              <w:spacing w:line="240" w:lineRule="auto"/>
              <w:rPr>
                <w:color w:val="000000"/>
                <w:sz w:val="20"/>
                <w:szCs w:val="20"/>
              </w:rPr>
            </w:pPr>
            <w:r>
              <w:rPr>
                <w:color w:val="000000"/>
                <w:sz w:val="20"/>
                <w:szCs w:val="20"/>
              </w:rPr>
              <w:t>POBO</w:t>
            </w:r>
          </w:p>
        </w:tc>
        <w:tc>
          <w:tcPr>
            <w:tcW w:w="2551" w:type="dxa"/>
            <w:shd w:val="clear" w:color="auto" w:fill="auto"/>
          </w:tcPr>
          <w:p>
            <w:pPr>
              <w:spacing w:after="0" w:line="240" w:lineRule="auto"/>
              <w:ind w:left="-108"/>
              <w:rPr>
                <w:sz w:val="20"/>
                <w:szCs w:val="20"/>
              </w:rPr>
            </w:pPr>
            <w:r>
              <w:rPr>
                <w:sz w:val="20"/>
                <w:szCs w:val="20"/>
                <w:lang w:val="id-ID"/>
              </w:rPr>
              <w:t>Program Peningkatan Pencapaian POBO 81%</w:t>
            </w:r>
          </w:p>
          <w:p>
            <w:pPr>
              <w:pStyle w:val="28"/>
              <w:numPr>
                <w:ilvl w:val="0"/>
                <w:numId w:val="25"/>
              </w:numPr>
              <w:spacing w:after="0" w:line="240" w:lineRule="auto"/>
              <w:ind w:left="317" w:hanging="284"/>
              <w:rPr>
                <w:sz w:val="20"/>
                <w:szCs w:val="20"/>
              </w:rPr>
            </w:pPr>
            <w:r>
              <w:rPr>
                <w:sz w:val="20"/>
                <w:szCs w:val="20"/>
                <w:lang w:val="id-ID"/>
              </w:rPr>
              <w:t>Penyempurnaan SPO Penagihan piutang</w:t>
            </w:r>
          </w:p>
          <w:p>
            <w:pPr>
              <w:pStyle w:val="28"/>
              <w:numPr>
                <w:ilvl w:val="0"/>
                <w:numId w:val="25"/>
              </w:numPr>
              <w:spacing w:after="0" w:line="240" w:lineRule="auto"/>
              <w:ind w:left="317" w:hanging="284"/>
              <w:rPr>
                <w:sz w:val="20"/>
                <w:szCs w:val="20"/>
              </w:rPr>
            </w:pPr>
            <w:r>
              <w:rPr>
                <w:sz w:val="20"/>
                <w:szCs w:val="20"/>
                <w:lang w:val="id-ID"/>
              </w:rPr>
              <w:t>Peremajaan computer</w:t>
            </w:r>
          </w:p>
          <w:p>
            <w:pPr>
              <w:pStyle w:val="28"/>
              <w:numPr>
                <w:ilvl w:val="0"/>
                <w:numId w:val="25"/>
              </w:numPr>
              <w:spacing w:after="0" w:line="240" w:lineRule="auto"/>
              <w:ind w:left="317" w:hanging="284"/>
              <w:rPr>
                <w:sz w:val="20"/>
                <w:szCs w:val="20"/>
              </w:rPr>
            </w:pPr>
            <w:r>
              <w:rPr>
                <w:sz w:val="20"/>
                <w:szCs w:val="20"/>
                <w:lang w:val="id-ID"/>
              </w:rPr>
              <w:t>Penyempurnaan aplikasi keuangan</w:t>
            </w:r>
          </w:p>
          <w:p>
            <w:pPr>
              <w:pStyle w:val="28"/>
              <w:numPr>
                <w:ilvl w:val="0"/>
                <w:numId w:val="25"/>
              </w:numPr>
              <w:spacing w:after="0" w:line="240" w:lineRule="auto"/>
              <w:ind w:left="317" w:hanging="284"/>
              <w:rPr>
                <w:sz w:val="20"/>
                <w:szCs w:val="20"/>
              </w:rPr>
            </w:pPr>
            <w:r>
              <w:rPr>
                <w:sz w:val="20"/>
                <w:szCs w:val="20"/>
                <w:lang w:val="id-ID"/>
              </w:rPr>
              <w:t>Penyusunan unit cost pelayanan &amp; pendidikan</w:t>
            </w:r>
          </w:p>
          <w:p>
            <w:pPr>
              <w:pStyle w:val="28"/>
              <w:numPr>
                <w:ilvl w:val="0"/>
                <w:numId w:val="25"/>
              </w:numPr>
              <w:spacing w:after="0" w:line="240" w:lineRule="auto"/>
              <w:ind w:left="317" w:hanging="284"/>
              <w:rPr>
                <w:sz w:val="20"/>
                <w:szCs w:val="20"/>
              </w:rPr>
            </w:pPr>
            <w:r>
              <w:rPr>
                <w:sz w:val="20"/>
                <w:szCs w:val="20"/>
                <w:lang w:val="id-ID"/>
              </w:rPr>
              <w:t>Penyempurnaan sistem perencanaan anggaran</w:t>
            </w:r>
            <w:r>
              <w:rPr>
                <w:sz w:val="20"/>
                <w:szCs w:val="20"/>
              </w:rPr>
              <w:t xml:space="preserve"> </w:t>
            </w:r>
            <w:r>
              <w:rPr>
                <w:sz w:val="20"/>
                <w:szCs w:val="20"/>
                <w:lang w:val="id-ID"/>
              </w:rPr>
              <w:t>(</w:t>
            </w:r>
            <w:r>
              <w:rPr>
                <w:i/>
                <w:iCs/>
                <w:sz w:val="20"/>
                <w:szCs w:val="20"/>
                <w:lang w:val="id-ID"/>
              </w:rPr>
              <w:t>e-planning</w:t>
            </w:r>
            <w:r>
              <w:rPr>
                <w:sz w:val="20"/>
                <w:szCs w:val="20"/>
                <w:lang w:val="id-ID"/>
              </w:rPr>
              <w:t>)</w:t>
            </w:r>
          </w:p>
          <w:p>
            <w:pPr>
              <w:pStyle w:val="28"/>
              <w:numPr>
                <w:ilvl w:val="0"/>
                <w:numId w:val="25"/>
              </w:numPr>
              <w:spacing w:after="0" w:line="240" w:lineRule="auto"/>
              <w:ind w:left="317" w:hanging="284"/>
              <w:rPr>
                <w:sz w:val="20"/>
                <w:szCs w:val="20"/>
              </w:rPr>
            </w:pPr>
            <w:r>
              <w:rPr>
                <w:sz w:val="20"/>
                <w:szCs w:val="20"/>
                <w:lang w:val="pt-BR"/>
              </w:rPr>
              <w:t xml:space="preserve">Program efisiensi dalam hal biaya operasional </w:t>
            </w:r>
            <w:r>
              <w:rPr>
                <w:sz w:val="20"/>
                <w:szCs w:val="20"/>
                <w:lang w:val="id-ID"/>
              </w:rPr>
              <w:t>(Kesesuaian standar)</w:t>
            </w:r>
          </w:p>
          <w:p>
            <w:pPr>
              <w:spacing w:after="0" w:line="240" w:lineRule="auto"/>
              <w:rPr>
                <w:color w:val="000000"/>
                <w:sz w:val="20"/>
                <w:szCs w:val="20"/>
              </w:rPr>
            </w:pPr>
          </w:p>
        </w:tc>
        <w:tc>
          <w:tcPr>
            <w:tcW w:w="2552" w:type="dxa"/>
            <w:shd w:val="clear" w:color="auto" w:fill="auto"/>
          </w:tcPr>
          <w:p>
            <w:pPr>
              <w:spacing w:after="0" w:line="240" w:lineRule="auto"/>
              <w:ind w:left="-108"/>
              <w:rPr>
                <w:sz w:val="20"/>
                <w:szCs w:val="20"/>
              </w:rPr>
            </w:pPr>
            <w:r>
              <w:rPr>
                <w:sz w:val="20"/>
                <w:szCs w:val="20"/>
                <w:lang w:val="id-ID"/>
              </w:rPr>
              <w:t>Program Peningkatan Pencapaian POBO 8</w:t>
            </w:r>
            <w:r>
              <w:rPr>
                <w:sz w:val="20"/>
                <w:szCs w:val="20"/>
              </w:rPr>
              <w:t>2</w:t>
            </w:r>
            <w:r>
              <w:rPr>
                <w:sz w:val="20"/>
                <w:szCs w:val="20"/>
                <w:lang w:val="id-ID"/>
              </w:rPr>
              <w:t>%</w:t>
            </w:r>
          </w:p>
          <w:p>
            <w:pPr>
              <w:pStyle w:val="28"/>
              <w:numPr>
                <w:ilvl w:val="0"/>
                <w:numId w:val="25"/>
              </w:numPr>
              <w:spacing w:after="0" w:line="240" w:lineRule="auto"/>
              <w:ind w:left="317" w:hanging="284"/>
              <w:rPr>
                <w:sz w:val="20"/>
                <w:szCs w:val="20"/>
              </w:rPr>
            </w:pPr>
            <w:r>
              <w:rPr>
                <w:sz w:val="20"/>
                <w:szCs w:val="20"/>
                <w:lang w:val="id-ID"/>
              </w:rPr>
              <w:t>Peremajaan computer</w:t>
            </w:r>
          </w:p>
          <w:p>
            <w:pPr>
              <w:pStyle w:val="28"/>
              <w:numPr>
                <w:ilvl w:val="0"/>
                <w:numId w:val="25"/>
              </w:numPr>
              <w:spacing w:after="0" w:line="240" w:lineRule="auto"/>
              <w:ind w:left="317" w:hanging="284"/>
              <w:rPr>
                <w:sz w:val="20"/>
                <w:szCs w:val="20"/>
              </w:rPr>
            </w:pPr>
            <w:r>
              <w:rPr>
                <w:sz w:val="20"/>
                <w:szCs w:val="20"/>
                <w:lang w:val="id-ID"/>
              </w:rPr>
              <w:t>Penyempurnaan aplikasi keuangan</w:t>
            </w:r>
          </w:p>
          <w:p>
            <w:pPr>
              <w:pStyle w:val="28"/>
              <w:numPr>
                <w:ilvl w:val="0"/>
                <w:numId w:val="25"/>
              </w:numPr>
              <w:spacing w:after="0" w:line="240" w:lineRule="auto"/>
              <w:ind w:left="317" w:hanging="284"/>
              <w:rPr>
                <w:sz w:val="20"/>
                <w:szCs w:val="20"/>
              </w:rPr>
            </w:pPr>
            <w:r>
              <w:rPr>
                <w:sz w:val="20"/>
                <w:szCs w:val="20"/>
                <w:lang w:val="id-ID"/>
              </w:rPr>
              <w:t>Penyusunan unit cost pelayanan &amp; pendidikan</w:t>
            </w:r>
          </w:p>
          <w:p>
            <w:pPr>
              <w:pStyle w:val="28"/>
              <w:numPr>
                <w:ilvl w:val="0"/>
                <w:numId w:val="25"/>
              </w:numPr>
              <w:spacing w:after="0" w:line="240" w:lineRule="auto"/>
              <w:ind w:left="317" w:hanging="284"/>
              <w:rPr>
                <w:sz w:val="20"/>
                <w:szCs w:val="20"/>
              </w:rPr>
            </w:pPr>
            <w:r>
              <w:rPr>
                <w:sz w:val="20"/>
                <w:szCs w:val="20"/>
                <w:lang w:val="id-ID"/>
              </w:rPr>
              <w:t>Penyempurnaan sistem perencanaan anggaran</w:t>
            </w:r>
            <w:r>
              <w:rPr>
                <w:sz w:val="20"/>
                <w:szCs w:val="20"/>
              </w:rPr>
              <w:t xml:space="preserve"> </w:t>
            </w:r>
            <w:r>
              <w:rPr>
                <w:sz w:val="20"/>
                <w:szCs w:val="20"/>
                <w:lang w:val="id-ID"/>
              </w:rPr>
              <w:t>(</w:t>
            </w:r>
            <w:r>
              <w:rPr>
                <w:i/>
                <w:iCs/>
                <w:sz w:val="20"/>
                <w:szCs w:val="20"/>
                <w:lang w:val="id-ID"/>
              </w:rPr>
              <w:t>e-planning</w:t>
            </w:r>
            <w:r>
              <w:rPr>
                <w:sz w:val="20"/>
                <w:szCs w:val="20"/>
                <w:lang w:val="id-ID"/>
              </w:rPr>
              <w:t>)</w:t>
            </w:r>
          </w:p>
          <w:p>
            <w:pPr>
              <w:pStyle w:val="28"/>
              <w:numPr>
                <w:ilvl w:val="0"/>
                <w:numId w:val="25"/>
              </w:numPr>
              <w:spacing w:after="0" w:line="240" w:lineRule="auto"/>
              <w:ind w:left="317" w:hanging="284"/>
              <w:rPr>
                <w:sz w:val="20"/>
                <w:szCs w:val="20"/>
              </w:rPr>
            </w:pPr>
            <w:r>
              <w:rPr>
                <w:sz w:val="20"/>
                <w:szCs w:val="20"/>
                <w:lang w:val="pt-BR"/>
              </w:rPr>
              <w:t xml:space="preserve">Program efisiensi dalam hal biaya operasional </w:t>
            </w:r>
            <w:r>
              <w:rPr>
                <w:sz w:val="20"/>
                <w:szCs w:val="20"/>
                <w:lang w:val="id-ID"/>
              </w:rPr>
              <w:t>(Kesesuaian standar)</w:t>
            </w:r>
          </w:p>
        </w:tc>
        <w:tc>
          <w:tcPr>
            <w:tcW w:w="2409" w:type="dxa"/>
            <w:shd w:val="clear" w:color="auto" w:fill="auto"/>
          </w:tcPr>
          <w:p>
            <w:pPr>
              <w:spacing w:after="0" w:line="240" w:lineRule="auto"/>
              <w:ind w:left="-108"/>
              <w:rPr>
                <w:sz w:val="20"/>
                <w:szCs w:val="20"/>
              </w:rPr>
            </w:pPr>
            <w:r>
              <w:rPr>
                <w:sz w:val="20"/>
                <w:szCs w:val="20"/>
                <w:lang w:val="id-ID"/>
              </w:rPr>
              <w:t>Program Peningkatan Pencapaian POBO 8</w:t>
            </w:r>
            <w:r>
              <w:rPr>
                <w:sz w:val="20"/>
                <w:szCs w:val="20"/>
              </w:rPr>
              <w:t>2</w:t>
            </w:r>
            <w:r>
              <w:rPr>
                <w:sz w:val="20"/>
                <w:szCs w:val="20"/>
                <w:lang w:val="id-ID"/>
              </w:rPr>
              <w:t>%</w:t>
            </w:r>
          </w:p>
          <w:p>
            <w:pPr>
              <w:pStyle w:val="28"/>
              <w:numPr>
                <w:ilvl w:val="0"/>
                <w:numId w:val="57"/>
              </w:numPr>
              <w:spacing w:after="0" w:line="240" w:lineRule="auto"/>
              <w:ind w:left="176" w:hanging="218"/>
              <w:rPr>
                <w:sz w:val="20"/>
                <w:szCs w:val="20"/>
              </w:rPr>
            </w:pPr>
            <w:r>
              <w:rPr>
                <w:sz w:val="20"/>
                <w:szCs w:val="20"/>
                <w:lang w:val="id-ID"/>
              </w:rPr>
              <w:t>Peremajaan computer</w:t>
            </w:r>
          </w:p>
          <w:p>
            <w:pPr>
              <w:pStyle w:val="28"/>
              <w:numPr>
                <w:ilvl w:val="0"/>
                <w:numId w:val="57"/>
              </w:numPr>
              <w:spacing w:after="0" w:line="240" w:lineRule="auto"/>
              <w:ind w:left="176" w:hanging="218"/>
              <w:rPr>
                <w:sz w:val="20"/>
                <w:szCs w:val="20"/>
              </w:rPr>
            </w:pPr>
            <w:r>
              <w:rPr>
                <w:sz w:val="20"/>
                <w:szCs w:val="20"/>
                <w:lang w:val="id-ID"/>
              </w:rPr>
              <w:t>Penyempurnaan aplikasi keuangan</w:t>
            </w:r>
          </w:p>
          <w:p>
            <w:pPr>
              <w:pStyle w:val="28"/>
              <w:numPr>
                <w:ilvl w:val="0"/>
                <w:numId w:val="57"/>
              </w:numPr>
              <w:spacing w:after="0" w:line="240" w:lineRule="auto"/>
              <w:ind w:left="176" w:hanging="218"/>
              <w:rPr>
                <w:sz w:val="20"/>
                <w:szCs w:val="20"/>
              </w:rPr>
            </w:pPr>
            <w:r>
              <w:rPr>
                <w:sz w:val="20"/>
                <w:szCs w:val="20"/>
                <w:lang w:val="id-ID"/>
              </w:rPr>
              <w:t>Penyusunan unit cost pelayanan &amp; pendidikan</w:t>
            </w:r>
          </w:p>
          <w:p>
            <w:pPr>
              <w:pStyle w:val="28"/>
              <w:numPr>
                <w:ilvl w:val="0"/>
                <w:numId w:val="57"/>
              </w:numPr>
              <w:spacing w:after="0" w:line="240" w:lineRule="auto"/>
              <w:ind w:left="176" w:hanging="218"/>
              <w:rPr>
                <w:sz w:val="20"/>
                <w:szCs w:val="20"/>
              </w:rPr>
            </w:pPr>
            <w:r>
              <w:rPr>
                <w:sz w:val="20"/>
                <w:szCs w:val="20"/>
                <w:lang w:val="id-ID"/>
              </w:rPr>
              <w:t>Penyempurnaan sistem perencanaan anggaran</w:t>
            </w:r>
            <w:r>
              <w:rPr>
                <w:sz w:val="20"/>
                <w:szCs w:val="20"/>
              </w:rPr>
              <w:t xml:space="preserve"> </w:t>
            </w:r>
            <w:r>
              <w:rPr>
                <w:sz w:val="20"/>
                <w:szCs w:val="20"/>
                <w:lang w:val="id-ID"/>
              </w:rPr>
              <w:t>(</w:t>
            </w:r>
            <w:r>
              <w:rPr>
                <w:i/>
                <w:iCs/>
                <w:sz w:val="20"/>
                <w:szCs w:val="20"/>
                <w:lang w:val="id-ID"/>
              </w:rPr>
              <w:t>e-planning</w:t>
            </w:r>
            <w:r>
              <w:rPr>
                <w:sz w:val="20"/>
                <w:szCs w:val="20"/>
                <w:lang w:val="id-ID"/>
              </w:rPr>
              <w:t>)</w:t>
            </w:r>
          </w:p>
          <w:p>
            <w:pPr>
              <w:pStyle w:val="28"/>
              <w:numPr>
                <w:ilvl w:val="0"/>
                <w:numId w:val="57"/>
              </w:numPr>
              <w:spacing w:after="0" w:line="240" w:lineRule="auto"/>
              <w:ind w:left="176" w:hanging="218"/>
              <w:rPr>
                <w:sz w:val="20"/>
                <w:szCs w:val="20"/>
              </w:rPr>
            </w:pPr>
            <w:r>
              <w:rPr>
                <w:sz w:val="20"/>
                <w:szCs w:val="20"/>
                <w:lang w:val="pt-BR"/>
              </w:rPr>
              <w:t xml:space="preserve">Program efisiensi dalam hal biaya operasional </w:t>
            </w:r>
            <w:r>
              <w:rPr>
                <w:sz w:val="20"/>
                <w:szCs w:val="20"/>
                <w:lang w:val="id-ID"/>
              </w:rPr>
              <w:t>(Kesesuaian standar)</w:t>
            </w:r>
          </w:p>
          <w:p>
            <w:pPr>
              <w:pStyle w:val="28"/>
              <w:numPr>
                <w:ilvl w:val="0"/>
                <w:numId w:val="57"/>
              </w:numPr>
              <w:spacing w:after="0" w:line="240" w:lineRule="auto"/>
              <w:ind w:left="176" w:hanging="218"/>
              <w:rPr>
                <w:sz w:val="20"/>
                <w:szCs w:val="20"/>
              </w:rPr>
            </w:pPr>
            <w:r>
              <w:rPr>
                <w:sz w:val="20"/>
                <w:szCs w:val="20"/>
              </w:rPr>
              <w:t>Pelaksanaan ISO Keuangan</w:t>
            </w:r>
          </w:p>
        </w:tc>
        <w:tc>
          <w:tcPr>
            <w:tcW w:w="2410" w:type="dxa"/>
            <w:shd w:val="clear" w:color="auto" w:fill="auto"/>
          </w:tcPr>
          <w:p>
            <w:pPr>
              <w:spacing w:after="0" w:line="240" w:lineRule="auto"/>
              <w:rPr>
                <w:sz w:val="20"/>
                <w:szCs w:val="20"/>
              </w:rPr>
            </w:pPr>
            <w:r>
              <w:rPr>
                <w:sz w:val="20"/>
                <w:szCs w:val="20"/>
                <w:lang w:val="id-ID"/>
              </w:rPr>
              <w:t>Program Peningkatan Pencapaian POBO 82%</w:t>
            </w:r>
          </w:p>
          <w:p>
            <w:pPr>
              <w:pStyle w:val="28"/>
              <w:numPr>
                <w:ilvl w:val="0"/>
                <w:numId w:val="58"/>
              </w:numPr>
              <w:spacing w:after="0" w:line="240" w:lineRule="auto"/>
              <w:ind w:left="176" w:hanging="142"/>
              <w:rPr>
                <w:sz w:val="20"/>
                <w:szCs w:val="20"/>
              </w:rPr>
            </w:pPr>
            <w:r>
              <w:rPr>
                <w:sz w:val="20"/>
                <w:szCs w:val="20"/>
                <w:lang w:val="id-ID"/>
              </w:rPr>
              <w:t>Revisi SPO Penagihan piutang</w:t>
            </w:r>
          </w:p>
          <w:p>
            <w:pPr>
              <w:pStyle w:val="28"/>
              <w:numPr>
                <w:ilvl w:val="0"/>
                <w:numId w:val="58"/>
              </w:numPr>
              <w:spacing w:after="0" w:line="240" w:lineRule="auto"/>
              <w:ind w:left="176" w:hanging="142"/>
              <w:rPr>
                <w:sz w:val="20"/>
                <w:szCs w:val="20"/>
              </w:rPr>
            </w:pPr>
            <w:r>
              <w:rPr>
                <w:sz w:val="20"/>
                <w:szCs w:val="20"/>
                <w:lang w:val="id-ID"/>
              </w:rPr>
              <w:t>Peremajaan computer</w:t>
            </w:r>
          </w:p>
          <w:p>
            <w:pPr>
              <w:pStyle w:val="28"/>
              <w:numPr>
                <w:ilvl w:val="0"/>
                <w:numId w:val="58"/>
              </w:numPr>
              <w:spacing w:after="0" w:line="240" w:lineRule="auto"/>
              <w:ind w:left="176" w:hanging="142"/>
              <w:rPr>
                <w:sz w:val="20"/>
                <w:szCs w:val="20"/>
              </w:rPr>
            </w:pPr>
            <w:r>
              <w:rPr>
                <w:sz w:val="20"/>
                <w:szCs w:val="20"/>
                <w:lang w:val="id-ID"/>
              </w:rPr>
              <w:t>Penyempurnaan aplikasi keuangan</w:t>
            </w:r>
          </w:p>
          <w:p>
            <w:pPr>
              <w:pStyle w:val="28"/>
              <w:numPr>
                <w:ilvl w:val="0"/>
                <w:numId w:val="58"/>
              </w:numPr>
              <w:spacing w:after="0" w:line="240" w:lineRule="auto"/>
              <w:ind w:left="176" w:hanging="142"/>
              <w:rPr>
                <w:sz w:val="20"/>
                <w:szCs w:val="20"/>
              </w:rPr>
            </w:pPr>
            <w:r>
              <w:rPr>
                <w:sz w:val="20"/>
                <w:szCs w:val="20"/>
                <w:lang w:val="id-ID"/>
              </w:rPr>
              <w:t>Penyusunan unit cost pelayanan &amp; pendidikan</w:t>
            </w:r>
          </w:p>
          <w:p>
            <w:pPr>
              <w:pStyle w:val="28"/>
              <w:numPr>
                <w:ilvl w:val="0"/>
                <w:numId w:val="58"/>
              </w:numPr>
              <w:spacing w:after="0" w:line="240" w:lineRule="auto"/>
              <w:ind w:left="176" w:hanging="142"/>
              <w:rPr>
                <w:sz w:val="20"/>
                <w:szCs w:val="20"/>
              </w:rPr>
            </w:pPr>
            <w:r>
              <w:rPr>
                <w:sz w:val="20"/>
                <w:szCs w:val="20"/>
                <w:lang w:val="id-ID"/>
              </w:rPr>
              <w:t>Penyempurnaan sistem perencanaan anggaran</w:t>
            </w:r>
            <w:r>
              <w:rPr>
                <w:sz w:val="20"/>
                <w:szCs w:val="20"/>
              </w:rPr>
              <w:t xml:space="preserve"> </w:t>
            </w:r>
            <w:r>
              <w:rPr>
                <w:sz w:val="20"/>
                <w:szCs w:val="20"/>
                <w:lang w:val="id-ID"/>
              </w:rPr>
              <w:t>(</w:t>
            </w:r>
            <w:r>
              <w:rPr>
                <w:i/>
                <w:iCs/>
                <w:sz w:val="20"/>
                <w:szCs w:val="20"/>
                <w:lang w:val="id-ID"/>
              </w:rPr>
              <w:t>e-planning</w:t>
            </w:r>
            <w:r>
              <w:rPr>
                <w:sz w:val="20"/>
                <w:szCs w:val="20"/>
                <w:lang w:val="id-ID"/>
              </w:rPr>
              <w:t>)</w:t>
            </w:r>
          </w:p>
          <w:p>
            <w:pPr>
              <w:pStyle w:val="28"/>
              <w:numPr>
                <w:ilvl w:val="0"/>
                <w:numId w:val="58"/>
              </w:numPr>
              <w:spacing w:after="0" w:line="240" w:lineRule="auto"/>
              <w:ind w:left="176" w:hanging="142"/>
              <w:rPr>
                <w:sz w:val="20"/>
                <w:szCs w:val="20"/>
              </w:rPr>
            </w:pPr>
            <w:r>
              <w:rPr>
                <w:sz w:val="20"/>
                <w:szCs w:val="20"/>
                <w:lang w:val="pt-BR"/>
              </w:rPr>
              <w:t xml:space="preserve">Program efisiensi dalam hal biaya operasional </w:t>
            </w:r>
            <w:r>
              <w:rPr>
                <w:sz w:val="20"/>
                <w:szCs w:val="20"/>
                <w:lang w:val="id-ID"/>
              </w:rPr>
              <w:t>(Kesesuaian standar)</w:t>
            </w:r>
          </w:p>
        </w:tc>
        <w:tc>
          <w:tcPr>
            <w:tcW w:w="2552" w:type="dxa"/>
            <w:shd w:val="clear" w:color="auto" w:fill="auto"/>
          </w:tcPr>
          <w:p>
            <w:pPr>
              <w:spacing w:after="0" w:line="240" w:lineRule="auto"/>
              <w:ind w:left="-108"/>
              <w:rPr>
                <w:sz w:val="20"/>
                <w:szCs w:val="20"/>
              </w:rPr>
            </w:pPr>
            <w:r>
              <w:rPr>
                <w:sz w:val="20"/>
                <w:szCs w:val="20"/>
                <w:lang w:val="id-ID"/>
              </w:rPr>
              <w:t>Program Peningkatan Pencapaian POBO 8</w:t>
            </w:r>
            <w:r>
              <w:rPr>
                <w:sz w:val="20"/>
                <w:szCs w:val="20"/>
              </w:rPr>
              <w:t>2</w:t>
            </w:r>
            <w:r>
              <w:rPr>
                <w:sz w:val="20"/>
                <w:szCs w:val="20"/>
                <w:lang w:val="id-ID"/>
              </w:rPr>
              <w:t>%</w:t>
            </w:r>
          </w:p>
          <w:p>
            <w:pPr>
              <w:pStyle w:val="28"/>
              <w:numPr>
                <w:ilvl w:val="0"/>
                <w:numId w:val="57"/>
              </w:numPr>
              <w:spacing w:after="0" w:line="240" w:lineRule="auto"/>
              <w:ind w:left="176" w:hanging="218"/>
              <w:rPr>
                <w:sz w:val="20"/>
                <w:szCs w:val="20"/>
              </w:rPr>
            </w:pPr>
            <w:r>
              <w:rPr>
                <w:sz w:val="20"/>
                <w:szCs w:val="20"/>
                <w:lang w:val="id-ID"/>
              </w:rPr>
              <w:t>Peremajaan computer</w:t>
            </w:r>
          </w:p>
          <w:p>
            <w:pPr>
              <w:pStyle w:val="28"/>
              <w:numPr>
                <w:ilvl w:val="0"/>
                <w:numId w:val="57"/>
              </w:numPr>
              <w:spacing w:after="0" w:line="240" w:lineRule="auto"/>
              <w:ind w:left="176" w:hanging="218"/>
              <w:rPr>
                <w:sz w:val="20"/>
                <w:szCs w:val="20"/>
              </w:rPr>
            </w:pPr>
            <w:r>
              <w:rPr>
                <w:sz w:val="20"/>
                <w:szCs w:val="20"/>
                <w:lang w:val="id-ID"/>
              </w:rPr>
              <w:t>Penyempurnaan aplikasi keuangan</w:t>
            </w:r>
          </w:p>
          <w:p>
            <w:pPr>
              <w:pStyle w:val="28"/>
              <w:numPr>
                <w:ilvl w:val="0"/>
                <w:numId w:val="57"/>
              </w:numPr>
              <w:spacing w:after="0" w:line="240" w:lineRule="auto"/>
              <w:ind w:left="176" w:hanging="218"/>
              <w:rPr>
                <w:sz w:val="20"/>
                <w:szCs w:val="20"/>
              </w:rPr>
            </w:pPr>
            <w:r>
              <w:rPr>
                <w:sz w:val="20"/>
                <w:szCs w:val="20"/>
                <w:lang w:val="id-ID"/>
              </w:rPr>
              <w:t>Penyusunan unit cost pelayanan &amp; pendidikan</w:t>
            </w:r>
          </w:p>
          <w:p>
            <w:pPr>
              <w:pStyle w:val="28"/>
              <w:numPr>
                <w:ilvl w:val="0"/>
                <w:numId w:val="57"/>
              </w:numPr>
              <w:spacing w:after="0" w:line="240" w:lineRule="auto"/>
              <w:ind w:left="176" w:hanging="218"/>
              <w:rPr>
                <w:sz w:val="20"/>
                <w:szCs w:val="20"/>
              </w:rPr>
            </w:pPr>
            <w:r>
              <w:rPr>
                <w:sz w:val="20"/>
                <w:szCs w:val="20"/>
                <w:lang w:val="id-ID"/>
              </w:rPr>
              <w:t>Penyempurnaan sistem perencanaan anggaran</w:t>
            </w:r>
            <w:r>
              <w:rPr>
                <w:sz w:val="20"/>
                <w:szCs w:val="20"/>
              </w:rPr>
              <w:t xml:space="preserve"> </w:t>
            </w:r>
            <w:r>
              <w:rPr>
                <w:sz w:val="20"/>
                <w:szCs w:val="20"/>
                <w:lang w:val="id-ID"/>
              </w:rPr>
              <w:t>(</w:t>
            </w:r>
            <w:r>
              <w:rPr>
                <w:i/>
                <w:iCs/>
                <w:sz w:val="20"/>
                <w:szCs w:val="20"/>
                <w:lang w:val="id-ID"/>
              </w:rPr>
              <w:t>e-planning</w:t>
            </w:r>
            <w:r>
              <w:rPr>
                <w:sz w:val="20"/>
                <w:szCs w:val="20"/>
                <w:lang w:val="id-ID"/>
              </w:rPr>
              <w:t>)</w:t>
            </w:r>
          </w:p>
          <w:p>
            <w:pPr>
              <w:pStyle w:val="28"/>
              <w:numPr>
                <w:ilvl w:val="0"/>
                <w:numId w:val="57"/>
              </w:numPr>
              <w:spacing w:after="0" w:line="240" w:lineRule="auto"/>
              <w:ind w:left="176" w:hanging="218"/>
              <w:rPr>
                <w:sz w:val="20"/>
                <w:szCs w:val="20"/>
              </w:rPr>
            </w:pPr>
            <w:r>
              <w:rPr>
                <w:sz w:val="20"/>
                <w:szCs w:val="20"/>
                <w:lang w:val="pt-BR"/>
              </w:rPr>
              <w:t xml:space="preserve">Program efisiensi dalam hal biaya operasional </w:t>
            </w:r>
            <w:r>
              <w:rPr>
                <w:sz w:val="20"/>
                <w:szCs w:val="20"/>
                <w:lang w:val="id-ID"/>
              </w:rPr>
              <w:t>(Kesesuaian standar)</w:t>
            </w:r>
          </w:p>
          <w:p>
            <w:pPr>
              <w:pStyle w:val="28"/>
              <w:numPr>
                <w:ilvl w:val="0"/>
                <w:numId w:val="57"/>
              </w:numPr>
              <w:spacing w:after="0" w:line="240" w:lineRule="auto"/>
              <w:ind w:left="176" w:hanging="218"/>
              <w:rPr>
                <w:sz w:val="20"/>
                <w:szCs w:val="20"/>
              </w:rPr>
            </w:pPr>
            <w:r>
              <w:rPr>
                <w:sz w:val="20"/>
                <w:szCs w:val="20"/>
              </w:rPr>
              <w:t>Pelaksanaan ISO Keuangan</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300" w:hRule="atLeast"/>
        </w:trPr>
        <w:tc>
          <w:tcPr>
            <w:tcW w:w="479" w:type="dxa"/>
            <w:shd w:val="clear" w:color="auto" w:fill="auto"/>
          </w:tcPr>
          <w:p>
            <w:pPr>
              <w:spacing w:after="0" w:line="240" w:lineRule="auto"/>
              <w:rPr>
                <w:color w:val="000000"/>
                <w:sz w:val="20"/>
                <w:szCs w:val="20"/>
              </w:rPr>
            </w:pPr>
            <w:r>
              <w:rPr>
                <w:color w:val="000000"/>
                <w:sz w:val="20"/>
                <w:szCs w:val="20"/>
              </w:rPr>
              <w:t>19</w:t>
            </w:r>
          </w:p>
        </w:tc>
        <w:tc>
          <w:tcPr>
            <w:tcW w:w="1790" w:type="dxa"/>
            <w:shd w:val="clear" w:color="auto" w:fill="auto"/>
          </w:tcPr>
          <w:p>
            <w:pPr>
              <w:spacing w:line="240" w:lineRule="auto"/>
              <w:rPr>
                <w:color w:val="000000"/>
                <w:sz w:val="20"/>
                <w:szCs w:val="20"/>
              </w:rPr>
            </w:pPr>
            <w:r>
              <w:rPr>
                <w:color w:val="000000"/>
                <w:sz w:val="20"/>
                <w:szCs w:val="20"/>
              </w:rPr>
              <w:t>Hasil audit keuangan</w:t>
            </w:r>
          </w:p>
        </w:tc>
        <w:tc>
          <w:tcPr>
            <w:tcW w:w="2551" w:type="dxa"/>
            <w:shd w:val="clear" w:color="auto" w:fill="auto"/>
          </w:tcPr>
          <w:p>
            <w:pPr>
              <w:spacing w:after="0" w:line="240" w:lineRule="auto"/>
              <w:ind w:right="42"/>
              <w:rPr>
                <w:color w:val="000000"/>
                <w:sz w:val="20"/>
                <w:szCs w:val="20"/>
              </w:rPr>
            </w:pPr>
            <w:r>
              <w:rPr>
                <w:color w:val="000000"/>
                <w:sz w:val="20"/>
                <w:szCs w:val="20"/>
              </w:rPr>
              <w:t>Program mempertahankan Pencapaian Opini WTP</w:t>
            </w:r>
          </w:p>
          <w:p>
            <w:pPr>
              <w:spacing w:after="0" w:line="240" w:lineRule="auto"/>
              <w:ind w:left="284" w:right="42" w:hanging="284"/>
              <w:rPr>
                <w:color w:val="000000"/>
                <w:sz w:val="20"/>
                <w:szCs w:val="20"/>
              </w:rPr>
            </w:pPr>
            <w:r>
              <w:rPr>
                <w:color w:val="000000"/>
                <w:sz w:val="20"/>
                <w:szCs w:val="20"/>
              </w:rPr>
              <w:t>-</w:t>
            </w:r>
            <w:r>
              <w:rPr>
                <w:color w:val="000000"/>
                <w:sz w:val="20"/>
                <w:szCs w:val="20"/>
              </w:rPr>
              <w:tab/>
            </w:r>
            <w:r>
              <w:rPr>
                <w:color w:val="000000"/>
                <w:sz w:val="20"/>
                <w:szCs w:val="20"/>
              </w:rPr>
              <w:t>Peningkatan kompetensi SDM Keuangan</w:t>
            </w:r>
          </w:p>
          <w:p>
            <w:pPr>
              <w:spacing w:after="0" w:line="240" w:lineRule="auto"/>
              <w:ind w:left="284" w:right="42" w:hanging="284"/>
              <w:rPr>
                <w:color w:val="000000"/>
                <w:sz w:val="20"/>
                <w:szCs w:val="20"/>
              </w:rPr>
            </w:pPr>
            <w:r>
              <w:rPr>
                <w:color w:val="000000"/>
                <w:sz w:val="20"/>
                <w:szCs w:val="20"/>
              </w:rPr>
              <w:t>-</w:t>
            </w:r>
            <w:r>
              <w:rPr>
                <w:color w:val="000000"/>
                <w:sz w:val="20"/>
                <w:szCs w:val="20"/>
              </w:rPr>
              <w:tab/>
            </w:r>
            <w:r>
              <w:rPr>
                <w:color w:val="000000"/>
                <w:sz w:val="20"/>
                <w:szCs w:val="20"/>
              </w:rPr>
              <w:t>Penyempurnaan SPO pengadaan Barang dan Jasa</w:t>
            </w:r>
          </w:p>
          <w:p>
            <w:pPr>
              <w:spacing w:after="0" w:line="240" w:lineRule="auto"/>
              <w:ind w:left="284" w:right="42" w:hanging="284"/>
              <w:rPr>
                <w:color w:val="000000"/>
                <w:sz w:val="20"/>
                <w:szCs w:val="20"/>
              </w:rPr>
            </w:pPr>
            <w:r>
              <w:rPr>
                <w:color w:val="000000"/>
                <w:sz w:val="20"/>
                <w:szCs w:val="20"/>
              </w:rPr>
              <w:t>-</w:t>
            </w:r>
            <w:r>
              <w:rPr>
                <w:color w:val="000000"/>
                <w:sz w:val="20"/>
                <w:szCs w:val="20"/>
              </w:rPr>
              <w:tab/>
            </w:r>
            <w:r>
              <w:rPr>
                <w:color w:val="000000"/>
                <w:sz w:val="20"/>
                <w:szCs w:val="20"/>
              </w:rPr>
              <w:t>Penyempurnaan SPO pengelolaan keuangan</w:t>
            </w:r>
          </w:p>
          <w:p>
            <w:pPr>
              <w:spacing w:after="0" w:line="240" w:lineRule="auto"/>
              <w:ind w:left="284" w:right="42" w:hanging="284"/>
              <w:rPr>
                <w:color w:val="000000"/>
                <w:sz w:val="20"/>
                <w:szCs w:val="20"/>
              </w:rPr>
            </w:pPr>
            <w:r>
              <w:rPr>
                <w:color w:val="000000"/>
                <w:sz w:val="20"/>
                <w:szCs w:val="20"/>
              </w:rPr>
              <w:t>-</w:t>
            </w:r>
            <w:r>
              <w:rPr>
                <w:color w:val="000000"/>
                <w:sz w:val="20"/>
                <w:szCs w:val="20"/>
              </w:rPr>
              <w:tab/>
            </w:r>
            <w:r>
              <w:rPr>
                <w:color w:val="000000"/>
                <w:sz w:val="20"/>
                <w:szCs w:val="20"/>
              </w:rPr>
              <w:t>Implementasi anti fraud dan gratifikasi</w:t>
            </w:r>
          </w:p>
        </w:tc>
        <w:tc>
          <w:tcPr>
            <w:tcW w:w="2552" w:type="dxa"/>
            <w:shd w:val="clear" w:color="auto" w:fill="auto"/>
          </w:tcPr>
          <w:p>
            <w:pPr>
              <w:spacing w:after="0" w:line="240" w:lineRule="auto"/>
              <w:ind w:right="51"/>
              <w:rPr>
                <w:sz w:val="20"/>
                <w:szCs w:val="20"/>
              </w:rPr>
            </w:pPr>
            <w:r>
              <w:rPr>
                <w:sz w:val="20"/>
                <w:szCs w:val="20"/>
              </w:rPr>
              <w:t>Program Peningkatan Pencapaian POBO 82%</w:t>
            </w:r>
          </w:p>
          <w:p>
            <w:pPr>
              <w:spacing w:after="0" w:line="240" w:lineRule="auto"/>
              <w:ind w:left="333" w:right="51" w:hanging="284"/>
              <w:rPr>
                <w:sz w:val="20"/>
                <w:szCs w:val="20"/>
              </w:rPr>
            </w:pPr>
            <w:r>
              <w:rPr>
                <w:sz w:val="20"/>
                <w:szCs w:val="20"/>
              </w:rPr>
              <w:t>-</w:t>
            </w:r>
            <w:r>
              <w:rPr>
                <w:sz w:val="20"/>
                <w:szCs w:val="20"/>
              </w:rPr>
              <w:tab/>
            </w:r>
            <w:r>
              <w:rPr>
                <w:sz w:val="20"/>
                <w:szCs w:val="20"/>
              </w:rPr>
              <w:t>Peningkatan kompetensi SDM Keuangan</w:t>
            </w:r>
          </w:p>
          <w:p>
            <w:pPr>
              <w:spacing w:after="0" w:line="240" w:lineRule="auto"/>
              <w:ind w:left="333" w:right="51" w:hanging="284"/>
              <w:rPr>
                <w:sz w:val="20"/>
                <w:szCs w:val="20"/>
              </w:rPr>
            </w:pPr>
            <w:r>
              <w:rPr>
                <w:sz w:val="20"/>
                <w:szCs w:val="20"/>
              </w:rPr>
              <w:t>-</w:t>
            </w:r>
            <w:r>
              <w:rPr>
                <w:sz w:val="20"/>
                <w:szCs w:val="20"/>
              </w:rPr>
              <w:tab/>
            </w:r>
            <w:r>
              <w:rPr>
                <w:sz w:val="20"/>
                <w:szCs w:val="20"/>
              </w:rPr>
              <w:t>Implementasi anti fraud dan gratifikasi</w:t>
            </w:r>
          </w:p>
        </w:tc>
        <w:tc>
          <w:tcPr>
            <w:tcW w:w="2409" w:type="dxa"/>
            <w:shd w:val="clear" w:color="auto" w:fill="auto"/>
          </w:tcPr>
          <w:p>
            <w:pPr>
              <w:spacing w:after="0" w:line="240" w:lineRule="auto"/>
              <w:ind w:right="-54"/>
              <w:rPr>
                <w:sz w:val="20"/>
                <w:szCs w:val="20"/>
              </w:rPr>
            </w:pPr>
            <w:r>
              <w:rPr>
                <w:sz w:val="20"/>
                <w:szCs w:val="20"/>
              </w:rPr>
              <w:t>Program Peningkatan Pencapaian POBO 82%</w:t>
            </w:r>
          </w:p>
          <w:p>
            <w:pPr>
              <w:spacing w:after="0" w:line="240" w:lineRule="auto"/>
              <w:ind w:left="278" w:right="-54" w:hanging="284"/>
              <w:rPr>
                <w:sz w:val="20"/>
                <w:szCs w:val="20"/>
              </w:rPr>
            </w:pPr>
            <w:r>
              <w:rPr>
                <w:sz w:val="20"/>
                <w:szCs w:val="20"/>
              </w:rPr>
              <w:t>-</w:t>
            </w:r>
            <w:r>
              <w:rPr>
                <w:sz w:val="20"/>
                <w:szCs w:val="20"/>
              </w:rPr>
              <w:tab/>
            </w:r>
            <w:r>
              <w:rPr>
                <w:sz w:val="20"/>
                <w:szCs w:val="20"/>
              </w:rPr>
              <w:t>Peningkatan kompetensi SDM Keuangan</w:t>
            </w:r>
          </w:p>
          <w:p>
            <w:pPr>
              <w:spacing w:after="0" w:line="240" w:lineRule="auto"/>
              <w:ind w:left="278" w:right="-54" w:hanging="284"/>
              <w:rPr>
                <w:sz w:val="20"/>
                <w:szCs w:val="20"/>
              </w:rPr>
            </w:pPr>
            <w:r>
              <w:rPr>
                <w:sz w:val="20"/>
                <w:szCs w:val="20"/>
              </w:rPr>
              <w:t>-</w:t>
            </w:r>
            <w:r>
              <w:rPr>
                <w:sz w:val="20"/>
                <w:szCs w:val="20"/>
              </w:rPr>
              <w:tab/>
            </w:r>
            <w:r>
              <w:rPr>
                <w:sz w:val="20"/>
                <w:szCs w:val="20"/>
              </w:rPr>
              <w:t>Implementasi anti fraud dan gratifikasi</w:t>
            </w:r>
          </w:p>
        </w:tc>
        <w:tc>
          <w:tcPr>
            <w:tcW w:w="2410" w:type="dxa"/>
            <w:shd w:val="clear" w:color="auto" w:fill="auto"/>
          </w:tcPr>
          <w:p>
            <w:pPr>
              <w:spacing w:after="0" w:line="240" w:lineRule="auto"/>
              <w:rPr>
                <w:sz w:val="20"/>
                <w:szCs w:val="20"/>
              </w:rPr>
            </w:pPr>
            <w:r>
              <w:rPr>
                <w:sz w:val="20"/>
                <w:szCs w:val="20"/>
              </w:rPr>
              <w:t>Program Peningkatan Pencapaian POBO 82%</w:t>
            </w:r>
          </w:p>
          <w:p>
            <w:pPr>
              <w:spacing w:after="0" w:line="240" w:lineRule="auto"/>
              <w:ind w:left="210" w:hanging="210"/>
              <w:rPr>
                <w:sz w:val="20"/>
                <w:szCs w:val="20"/>
              </w:rPr>
            </w:pPr>
            <w:r>
              <w:rPr>
                <w:sz w:val="20"/>
                <w:szCs w:val="20"/>
              </w:rPr>
              <w:t>-</w:t>
            </w:r>
            <w:r>
              <w:rPr>
                <w:sz w:val="20"/>
                <w:szCs w:val="20"/>
              </w:rPr>
              <w:tab/>
            </w:r>
            <w:r>
              <w:rPr>
                <w:sz w:val="20"/>
                <w:szCs w:val="20"/>
              </w:rPr>
              <w:t>Peningkatan kompetensi SDM Keuangan</w:t>
            </w:r>
          </w:p>
          <w:p>
            <w:pPr>
              <w:spacing w:after="0" w:line="240" w:lineRule="auto"/>
              <w:ind w:left="210" w:hanging="210"/>
              <w:rPr>
                <w:sz w:val="20"/>
                <w:szCs w:val="20"/>
              </w:rPr>
            </w:pPr>
            <w:r>
              <w:rPr>
                <w:sz w:val="20"/>
                <w:szCs w:val="20"/>
              </w:rPr>
              <w:t>-</w:t>
            </w:r>
            <w:r>
              <w:rPr>
                <w:sz w:val="20"/>
                <w:szCs w:val="20"/>
              </w:rPr>
              <w:tab/>
            </w:r>
            <w:r>
              <w:rPr>
                <w:sz w:val="20"/>
                <w:szCs w:val="20"/>
              </w:rPr>
              <w:t>Penyempurnaan SPO pengadaan Barang dan Jasa</w:t>
            </w:r>
          </w:p>
          <w:p>
            <w:pPr>
              <w:spacing w:after="0" w:line="240" w:lineRule="auto"/>
              <w:ind w:left="210" w:hanging="210"/>
              <w:rPr>
                <w:sz w:val="20"/>
                <w:szCs w:val="20"/>
              </w:rPr>
            </w:pPr>
            <w:r>
              <w:rPr>
                <w:sz w:val="20"/>
                <w:szCs w:val="20"/>
              </w:rPr>
              <w:t>-</w:t>
            </w:r>
            <w:r>
              <w:rPr>
                <w:sz w:val="20"/>
                <w:szCs w:val="20"/>
              </w:rPr>
              <w:tab/>
            </w:r>
            <w:r>
              <w:rPr>
                <w:sz w:val="20"/>
                <w:szCs w:val="20"/>
              </w:rPr>
              <w:t>Penyempurnaan SPO pengelolaan keuangan</w:t>
            </w:r>
          </w:p>
          <w:p>
            <w:pPr>
              <w:spacing w:after="0" w:line="240" w:lineRule="auto"/>
              <w:ind w:left="210" w:hanging="210"/>
              <w:rPr>
                <w:sz w:val="20"/>
                <w:szCs w:val="20"/>
              </w:rPr>
            </w:pPr>
            <w:r>
              <w:rPr>
                <w:sz w:val="20"/>
                <w:szCs w:val="20"/>
              </w:rPr>
              <w:t>-</w:t>
            </w:r>
            <w:r>
              <w:rPr>
                <w:sz w:val="20"/>
                <w:szCs w:val="20"/>
              </w:rPr>
              <w:tab/>
            </w:r>
            <w:r>
              <w:rPr>
                <w:sz w:val="20"/>
                <w:szCs w:val="20"/>
              </w:rPr>
              <w:t>Implementasi anti fraud dan gratifikasi</w:t>
            </w:r>
          </w:p>
        </w:tc>
        <w:tc>
          <w:tcPr>
            <w:tcW w:w="2552" w:type="dxa"/>
            <w:shd w:val="clear" w:color="auto" w:fill="auto"/>
          </w:tcPr>
          <w:p>
            <w:pPr>
              <w:spacing w:after="0" w:line="240" w:lineRule="auto"/>
              <w:ind w:right="186"/>
              <w:rPr>
                <w:sz w:val="20"/>
                <w:szCs w:val="20"/>
              </w:rPr>
            </w:pPr>
            <w:r>
              <w:rPr>
                <w:sz w:val="20"/>
                <w:szCs w:val="20"/>
              </w:rPr>
              <w:t>Program Peningkatan Pencapaian POBO 82%</w:t>
            </w:r>
          </w:p>
          <w:p>
            <w:pPr>
              <w:spacing w:after="0" w:line="240" w:lineRule="auto"/>
              <w:ind w:left="333" w:right="186" w:hanging="284"/>
              <w:rPr>
                <w:sz w:val="20"/>
                <w:szCs w:val="20"/>
              </w:rPr>
            </w:pPr>
            <w:r>
              <w:rPr>
                <w:sz w:val="20"/>
                <w:szCs w:val="20"/>
              </w:rPr>
              <w:t>-</w:t>
            </w:r>
            <w:r>
              <w:rPr>
                <w:sz w:val="20"/>
                <w:szCs w:val="20"/>
              </w:rPr>
              <w:tab/>
            </w:r>
            <w:r>
              <w:rPr>
                <w:sz w:val="20"/>
                <w:szCs w:val="20"/>
              </w:rPr>
              <w:t>Peningkatan kompetensi SDM Keuangan</w:t>
            </w:r>
          </w:p>
          <w:p>
            <w:pPr>
              <w:spacing w:after="0" w:line="240" w:lineRule="auto"/>
              <w:ind w:left="379" w:hanging="379"/>
              <w:rPr>
                <w:sz w:val="20"/>
                <w:szCs w:val="20"/>
              </w:rPr>
            </w:pPr>
            <w:r>
              <w:rPr>
                <w:sz w:val="20"/>
                <w:szCs w:val="20"/>
              </w:rPr>
              <w:t>-</w:t>
            </w:r>
            <w:r>
              <w:rPr>
                <w:sz w:val="20"/>
                <w:szCs w:val="20"/>
              </w:rPr>
              <w:tab/>
            </w:r>
            <w:r>
              <w:rPr>
                <w:sz w:val="20"/>
                <w:szCs w:val="20"/>
              </w:rPr>
              <w:t>Implementasi anti fraud dan gratifikasi</w:t>
            </w:r>
          </w:p>
        </w:tc>
      </w:tr>
    </w:tbl>
    <w:p>
      <w:pPr>
        <w:pStyle w:val="2"/>
        <w:rPr>
          <w:lang w:val="id-ID"/>
        </w:rPr>
      </w:pPr>
      <w:bookmarkStart w:id="64" w:name="_Toc431267240"/>
      <w:r>
        <w:rPr>
          <w:lang w:val="id-ID"/>
        </w:rPr>
        <w:t>VI</w:t>
      </w:r>
      <w:r>
        <w:t>.</w:t>
      </w:r>
      <w:r>
        <w:rPr>
          <w:lang w:val="id-ID"/>
        </w:rPr>
        <w:t xml:space="preserve"> ANALISA DAN MITIGASI RISIKO</w:t>
      </w:r>
      <w:bookmarkEnd w:id="64"/>
    </w:p>
    <w:p>
      <w:pPr>
        <w:pStyle w:val="3"/>
        <w:sectPr>
          <w:type w:val="continuous"/>
          <w:pgSz w:w="16839" w:h="11907" w:orient="landscape"/>
          <w:pgMar w:top="1440" w:right="1440" w:bottom="1440" w:left="1440" w:header="720" w:footer="720" w:gutter="0"/>
          <w:cols w:space="720" w:num="1"/>
          <w:docGrid w:linePitch="360" w:charSpace="0"/>
        </w:sectPr>
      </w:pPr>
      <w:bookmarkStart w:id="65" w:name="_Toc398467451"/>
    </w:p>
    <w:p>
      <w:pPr>
        <w:pStyle w:val="3"/>
      </w:pPr>
      <w:bookmarkStart w:id="66" w:name="_Toc431267241"/>
      <w:r>
        <w:rPr>
          <w:lang w:val="id-ID"/>
        </w:rPr>
        <w:t>6</w:t>
      </w:r>
      <w:r>
        <w:t>.1</w:t>
      </w:r>
      <w:r>
        <w:rPr>
          <w:lang w:val="id-ID"/>
        </w:rPr>
        <w:t xml:space="preserve"> </w:t>
      </w:r>
      <w:r>
        <w:t>Analisis Risiko</w:t>
      </w:r>
      <w:bookmarkEnd w:id="65"/>
      <w:bookmarkEnd w:id="66"/>
    </w:p>
    <w:p>
      <w:pPr>
        <w:spacing w:line="360" w:lineRule="auto"/>
        <w:jc w:val="both"/>
        <w:sectPr>
          <w:type w:val="continuous"/>
          <w:pgSz w:w="16839" w:h="11907" w:orient="landscape"/>
          <w:pgMar w:top="1440" w:right="1440" w:bottom="1440" w:left="1440" w:header="720" w:footer="720" w:gutter="0"/>
          <w:cols w:space="720" w:num="1"/>
          <w:docGrid w:linePitch="360" w:charSpace="0"/>
        </w:sectPr>
      </w:pPr>
    </w:p>
    <w:p>
      <w:pPr>
        <w:spacing w:line="360" w:lineRule="auto"/>
        <w:ind w:firstLine="709"/>
        <w:jc w:val="both"/>
        <w:rPr>
          <w:szCs w:val="24"/>
        </w:rPr>
      </w:pPr>
      <w:r>
        <w:rPr>
          <w:szCs w:val="24"/>
        </w:rPr>
        <w:t xml:space="preserve">Setiap sasaran strategis </w:t>
      </w:r>
      <w:r>
        <w:t>RSHS</w:t>
      </w:r>
      <w:r>
        <w:rPr>
          <w:color w:val="FF0000"/>
          <w:szCs w:val="24"/>
        </w:rPr>
        <w:t xml:space="preserve"> </w:t>
      </w:r>
      <w:r>
        <w:rPr>
          <w:szCs w:val="24"/>
        </w:rPr>
        <w:t>sebagaimana dijelaskan pada bagian terdahulu diperkirakan akan mengalami kemungkinan dapat tidak terwujud atau sebagian saja yang bisa diwujudkan karena potensi risiko yang dapat dialami organisasi, baik risiko finansial maupun non finansial. Untuk mengantisipasi potensi risiko yang akan dan tengah dihadapi oleh RSHS</w:t>
      </w:r>
      <w:r>
        <w:rPr>
          <w:color w:val="FF0000"/>
          <w:szCs w:val="24"/>
        </w:rPr>
        <w:t xml:space="preserve"> </w:t>
      </w:r>
      <w:r>
        <w:rPr>
          <w:szCs w:val="24"/>
        </w:rPr>
        <w:t xml:space="preserve">dalam mewujudkan visi 2019, maka diperlukan sebuah pemetaan risiko. Dalam buku ini, tujuan dari pemetaan risiko adalah untuk menentukan jenis risiko yang dinilai akan muncul dan diperkirakan kelak mempunyai dampak yang cukup signifikan dalam menggagalkan perwujudan visi 2019. </w:t>
      </w:r>
    </w:p>
    <w:p>
      <w:pPr>
        <w:spacing w:after="0" w:line="360" w:lineRule="auto"/>
        <w:ind w:firstLine="709"/>
        <w:jc w:val="both"/>
        <w:rPr>
          <w:szCs w:val="24"/>
        </w:rPr>
      </w:pPr>
      <w:r>
        <w:rPr>
          <w:szCs w:val="24"/>
        </w:rPr>
        <w:t xml:space="preserve">Adanya risiko yang diidentifikasi dan dipetakan ini akan menjadi dasar bagi </w:t>
      </w:r>
      <w:r>
        <w:t>RSHS</w:t>
      </w:r>
      <w:r>
        <w:rPr>
          <w:color w:val="FF0000"/>
          <w:szCs w:val="24"/>
        </w:rPr>
        <w:t xml:space="preserve"> </w:t>
      </w:r>
      <w:r>
        <w:rPr>
          <w:szCs w:val="24"/>
        </w:rPr>
        <w:t xml:space="preserve">dan pihak-pihak lain yang terkait untuk: </w:t>
      </w:r>
    </w:p>
    <w:p>
      <w:pPr>
        <w:pStyle w:val="28"/>
        <w:numPr>
          <w:ilvl w:val="0"/>
          <w:numId w:val="59"/>
        </w:numPr>
        <w:spacing w:line="360" w:lineRule="auto"/>
        <w:ind w:left="360" w:hanging="360"/>
        <w:jc w:val="both"/>
        <w:rPr>
          <w:szCs w:val="24"/>
        </w:rPr>
      </w:pPr>
      <w:r>
        <w:rPr>
          <w:szCs w:val="24"/>
        </w:rPr>
        <w:t xml:space="preserve">menyusun sebuah rencana mitigasi risiko sebagai rangkaian upaya untuk menghindari atau meniadakan atau mengurangi kemunculan suatu jenis risiko dan potensi tingkat dampak negatif yang dapat terjadi atas kemunculan suatu risiko dan </w:t>
      </w:r>
    </w:p>
    <w:p>
      <w:pPr>
        <w:pStyle w:val="28"/>
        <w:numPr>
          <w:ilvl w:val="0"/>
          <w:numId w:val="59"/>
        </w:numPr>
        <w:spacing w:line="360" w:lineRule="auto"/>
        <w:ind w:left="360" w:hanging="360"/>
        <w:jc w:val="both"/>
        <w:rPr>
          <w:szCs w:val="24"/>
        </w:rPr>
      </w:pPr>
      <w:r>
        <w:rPr>
          <w:szCs w:val="24"/>
        </w:rPr>
        <w:t xml:space="preserve">merekomendasikan suatu kebijakan agar pola penanganan suatu jenis risiko dinilai efektif apabila ada dukungan kepastian suatu payung hukum, yang berisi suatu kewenangan untuk diterapkan pada pengendalian risiko terkait. </w:t>
      </w:r>
    </w:p>
    <w:p>
      <w:pPr>
        <w:spacing w:line="360" w:lineRule="auto"/>
        <w:ind w:firstLine="709"/>
        <w:jc w:val="both"/>
        <w:rPr>
          <w:szCs w:val="24"/>
        </w:rPr>
      </w:pPr>
      <w:r>
        <w:rPr>
          <w:szCs w:val="24"/>
        </w:rPr>
        <w:t xml:space="preserve">Tanpa antisipasi berbagai risiko tersebut diperkirakan akan sulit di masa mendatang bagi jajaran manajemen </w:t>
      </w:r>
      <w:r>
        <w:t>RSHS</w:t>
      </w:r>
      <w:r>
        <w:rPr>
          <w:color w:val="FF0000"/>
          <w:szCs w:val="24"/>
        </w:rPr>
        <w:t xml:space="preserve"> </w:t>
      </w:r>
      <w:r>
        <w:rPr>
          <w:szCs w:val="24"/>
        </w:rPr>
        <w:t xml:space="preserve">untuk dapat mewujudkan berbagai sasaran strategisnya pada periode tahun 2015-2019. Dampak lanjutannya dapat diduga bahwa target KPI </w:t>
      </w:r>
      <w:r>
        <w:t>RSHS</w:t>
      </w:r>
      <w:r>
        <w:rPr>
          <w:color w:val="FF0000"/>
          <w:szCs w:val="24"/>
        </w:rPr>
        <w:t xml:space="preserve"> </w:t>
      </w:r>
      <w:r>
        <w:rPr>
          <w:szCs w:val="24"/>
        </w:rPr>
        <w:t xml:space="preserve">pada suatu tahun dapat tidak dicapai. </w:t>
      </w:r>
    </w:p>
    <w:p>
      <w:pPr>
        <w:pStyle w:val="28"/>
        <w:spacing w:line="360" w:lineRule="auto"/>
        <w:ind w:left="0" w:firstLine="709"/>
        <w:contextualSpacing w:val="0"/>
        <w:jc w:val="both"/>
        <w:rPr>
          <w:szCs w:val="24"/>
        </w:rPr>
      </w:pPr>
      <w:r>
        <w:rPr>
          <w:szCs w:val="24"/>
        </w:rPr>
        <w:t xml:space="preserve">Dalam pemetaan risiko, sangatlah mungkin bahwa sebuah sasaran strategis </w:t>
      </w:r>
      <w:r>
        <w:t>RSHS</w:t>
      </w:r>
      <w:r>
        <w:rPr>
          <w:color w:val="FF0000"/>
          <w:szCs w:val="24"/>
        </w:rPr>
        <w:t xml:space="preserve"> </w:t>
      </w:r>
      <w:r>
        <w:rPr>
          <w:szCs w:val="24"/>
        </w:rPr>
        <w:t xml:space="preserve">dapat mengandung lebih dari satu jenis risiko. Jenis risiko yang dipetakan yang dinilai penting bersumber baik dari lingkungan eksternal maupun internal </w:t>
      </w:r>
      <w:r>
        <w:t>RSHS</w:t>
      </w:r>
      <w:r>
        <w:rPr>
          <w:szCs w:val="24"/>
        </w:rPr>
        <w:t xml:space="preserve">, yang diperkirakan akan mengancam perwujudan suatu sasaran strategis. </w:t>
      </w:r>
    </w:p>
    <w:p>
      <w:pPr>
        <w:spacing w:after="0" w:line="360" w:lineRule="auto"/>
        <w:ind w:firstLine="709"/>
        <w:jc w:val="both"/>
        <w:rPr>
          <w:szCs w:val="24"/>
        </w:rPr>
      </w:pPr>
      <w:r>
        <w:rPr>
          <w:szCs w:val="24"/>
        </w:rPr>
        <w:t>Setelah pemetaan risiko dilakukan, tahap selanjutnya adalah menganalisis atau menentukan tingkat risiko yang diidentifikasi. Upaya yang dilakukan untuk mendefinisikan tingkat (</w:t>
      </w:r>
      <w:r>
        <w:rPr>
          <w:i/>
          <w:szCs w:val="24"/>
        </w:rPr>
        <w:t>level</w:t>
      </w:r>
      <w:r>
        <w:rPr>
          <w:szCs w:val="24"/>
        </w:rPr>
        <w:t>) risiko adalah sebagai berikut:</w:t>
      </w:r>
    </w:p>
    <w:p>
      <w:pPr>
        <w:pStyle w:val="28"/>
        <w:numPr>
          <w:ilvl w:val="3"/>
          <w:numId w:val="50"/>
        </w:numPr>
        <w:spacing w:after="0" w:line="360" w:lineRule="auto"/>
        <w:ind w:left="450" w:hanging="414"/>
        <w:jc w:val="both"/>
        <w:rPr>
          <w:szCs w:val="24"/>
        </w:rPr>
      </w:pPr>
      <w:r>
        <w:rPr>
          <w:szCs w:val="24"/>
        </w:rPr>
        <w:t xml:space="preserve"> Menentukan kemungkinan risiko terjadi dengan patokan sebagai berikut:</w:t>
      </w:r>
    </w:p>
    <w:p>
      <w:pPr>
        <w:pStyle w:val="28"/>
        <w:numPr>
          <w:ilvl w:val="0"/>
          <w:numId w:val="60"/>
        </w:numPr>
        <w:spacing w:after="0" w:line="360" w:lineRule="auto"/>
        <w:ind w:left="810"/>
        <w:jc w:val="both"/>
        <w:rPr>
          <w:szCs w:val="24"/>
        </w:rPr>
      </w:pPr>
      <w:r>
        <w:rPr>
          <w:szCs w:val="24"/>
        </w:rPr>
        <w:t xml:space="preserve">kemungkinan </w:t>
      </w:r>
      <w:r>
        <w:rPr>
          <w:b/>
          <w:szCs w:val="24"/>
        </w:rPr>
        <w:t>sangat besar</w:t>
      </w:r>
      <w:r>
        <w:rPr>
          <w:szCs w:val="24"/>
        </w:rPr>
        <w:t xml:space="preserve"> : dipastikan akan sangat mungkin terjadi untuk memengaruhi suatu sasaran strategis dengan nilai kemungkinan risiko terjadi berkisar di atas 0,8 sampai 1,0</w:t>
      </w:r>
    </w:p>
    <w:p>
      <w:pPr>
        <w:pStyle w:val="28"/>
        <w:numPr>
          <w:ilvl w:val="0"/>
          <w:numId w:val="60"/>
        </w:numPr>
        <w:spacing w:after="0" w:line="360" w:lineRule="auto"/>
        <w:ind w:left="810"/>
        <w:jc w:val="both"/>
        <w:rPr>
          <w:szCs w:val="24"/>
        </w:rPr>
      </w:pPr>
      <w:r>
        <w:rPr>
          <w:szCs w:val="24"/>
        </w:rPr>
        <w:t xml:space="preserve">kemungkinan </w:t>
      </w:r>
      <w:r>
        <w:rPr>
          <w:b/>
          <w:szCs w:val="24"/>
        </w:rPr>
        <w:t>besar</w:t>
      </w:r>
      <w:r>
        <w:rPr>
          <w:szCs w:val="24"/>
        </w:rPr>
        <w:t xml:space="preserve"> : kemungkinan besar terjadi untuk memengaruhi suatu sasaran strategis dengan nilai kemungkinan risiko terjadi berkisar antara 0,6 sampai dengan 0,8</w:t>
      </w:r>
    </w:p>
    <w:p>
      <w:pPr>
        <w:pStyle w:val="28"/>
        <w:numPr>
          <w:ilvl w:val="0"/>
          <w:numId w:val="60"/>
        </w:numPr>
        <w:spacing w:after="0" w:line="360" w:lineRule="auto"/>
        <w:ind w:left="810"/>
        <w:jc w:val="both"/>
        <w:rPr>
          <w:szCs w:val="24"/>
        </w:rPr>
      </w:pPr>
      <w:r>
        <w:rPr>
          <w:szCs w:val="24"/>
        </w:rPr>
        <w:t xml:space="preserve">kemungkinan </w:t>
      </w:r>
      <w:r>
        <w:rPr>
          <w:b/>
          <w:szCs w:val="24"/>
        </w:rPr>
        <w:t>sedang</w:t>
      </w:r>
      <w:r>
        <w:rPr>
          <w:szCs w:val="24"/>
        </w:rPr>
        <w:t xml:space="preserve"> : kemungkinan sedang terjadinya risiko untuk memengaruhi suatu sasaran strategis dengan nilai kemungkinan risiko terjadi berkisar antara 0,4 sampai dengan 0,6</w:t>
      </w:r>
    </w:p>
    <w:p>
      <w:pPr>
        <w:pStyle w:val="28"/>
        <w:numPr>
          <w:ilvl w:val="0"/>
          <w:numId w:val="60"/>
        </w:numPr>
        <w:spacing w:after="0" w:line="360" w:lineRule="auto"/>
        <w:ind w:left="810"/>
        <w:jc w:val="both"/>
        <w:rPr>
          <w:szCs w:val="24"/>
        </w:rPr>
      </w:pPr>
      <w:r>
        <w:rPr>
          <w:szCs w:val="24"/>
        </w:rPr>
        <w:t xml:space="preserve">kemungkinan </w:t>
      </w:r>
      <w:r>
        <w:rPr>
          <w:b/>
          <w:szCs w:val="24"/>
        </w:rPr>
        <w:t>kecil</w:t>
      </w:r>
      <w:r>
        <w:rPr>
          <w:szCs w:val="24"/>
        </w:rPr>
        <w:t xml:space="preserve"> : kemungkinan kecil risiko dapat terjadi untuk memengaruhi suatu sasaran strategis dengan nilai kemungkinan risiko terjadi berkisar antara 0,2 sampai dengan 0,4</w:t>
      </w:r>
    </w:p>
    <w:p>
      <w:pPr>
        <w:pStyle w:val="28"/>
        <w:numPr>
          <w:ilvl w:val="0"/>
          <w:numId w:val="60"/>
        </w:numPr>
        <w:spacing w:after="0" w:line="360" w:lineRule="auto"/>
        <w:ind w:left="810"/>
        <w:jc w:val="both"/>
        <w:rPr>
          <w:szCs w:val="24"/>
        </w:rPr>
      </w:pPr>
      <w:r>
        <w:rPr>
          <w:szCs w:val="24"/>
        </w:rPr>
        <w:t xml:space="preserve">kemungkinan </w:t>
      </w:r>
      <w:r>
        <w:rPr>
          <w:b/>
          <w:szCs w:val="24"/>
        </w:rPr>
        <w:t>sangat kecil</w:t>
      </w:r>
      <w:r>
        <w:rPr>
          <w:szCs w:val="24"/>
        </w:rPr>
        <w:t xml:space="preserve"> : kemungkinan sangat kecil risiko dapat terjadi untuk memengaruhi suatu sasaran strategis dengan nilai kemungkinan risiko terjadi berkisar antara 0 sampai dengan 0,2</w:t>
      </w:r>
    </w:p>
    <w:p>
      <w:pPr>
        <w:pStyle w:val="28"/>
        <w:numPr>
          <w:ilvl w:val="3"/>
          <w:numId w:val="50"/>
        </w:numPr>
        <w:spacing w:after="0" w:line="360" w:lineRule="auto"/>
        <w:ind w:left="450" w:hanging="414"/>
        <w:jc w:val="both"/>
        <w:rPr>
          <w:szCs w:val="24"/>
        </w:rPr>
      </w:pPr>
      <w:r>
        <w:rPr>
          <w:szCs w:val="24"/>
        </w:rPr>
        <w:t>Menentukan dampak risiko dengan patokan sebagai berikut:</w:t>
      </w:r>
    </w:p>
    <w:p>
      <w:pPr>
        <w:pStyle w:val="28"/>
        <w:numPr>
          <w:ilvl w:val="0"/>
          <w:numId w:val="60"/>
        </w:numPr>
        <w:spacing w:after="0" w:line="360" w:lineRule="auto"/>
        <w:ind w:left="810"/>
        <w:jc w:val="both"/>
        <w:rPr>
          <w:szCs w:val="24"/>
        </w:rPr>
      </w:pPr>
      <w:r>
        <w:rPr>
          <w:szCs w:val="24"/>
        </w:rPr>
        <w:t xml:space="preserve">Dampak tidak signifikan : risiko mempunyai pengaruh sangat kecil pada suatu sasaran strategis, namun sasaran strategis masih bisa dicapai </w:t>
      </w:r>
    </w:p>
    <w:p>
      <w:pPr>
        <w:pStyle w:val="28"/>
        <w:numPr>
          <w:ilvl w:val="0"/>
          <w:numId w:val="60"/>
        </w:numPr>
        <w:spacing w:after="0" w:line="360" w:lineRule="auto"/>
        <w:ind w:left="810"/>
        <w:jc w:val="both"/>
        <w:rPr>
          <w:szCs w:val="24"/>
        </w:rPr>
      </w:pPr>
      <w:r>
        <w:rPr>
          <w:szCs w:val="24"/>
        </w:rPr>
        <w:t>Dampak minor : risiko mempunyai pengaruh kecil pada suatu sasaran strategis dan memerlukan sedikit upaya penanganan</w:t>
      </w:r>
    </w:p>
    <w:p>
      <w:pPr>
        <w:pStyle w:val="28"/>
        <w:numPr>
          <w:ilvl w:val="0"/>
          <w:numId w:val="60"/>
        </w:numPr>
        <w:spacing w:after="0" w:line="360" w:lineRule="auto"/>
        <w:ind w:left="810"/>
        <w:jc w:val="both"/>
        <w:rPr>
          <w:szCs w:val="24"/>
        </w:rPr>
      </w:pPr>
      <w:r>
        <w:rPr>
          <w:szCs w:val="24"/>
        </w:rPr>
        <w:t>Dampak medium : risiko mempunyai pengaruh sedang pada suatu sasaran strategis dan membutuhkan upaya cukup serius penanganannya</w:t>
      </w:r>
    </w:p>
    <w:p>
      <w:pPr>
        <w:pStyle w:val="28"/>
        <w:numPr>
          <w:ilvl w:val="0"/>
          <w:numId w:val="60"/>
        </w:numPr>
        <w:spacing w:after="0" w:line="360" w:lineRule="auto"/>
        <w:ind w:left="810"/>
        <w:jc w:val="both"/>
        <w:rPr>
          <w:szCs w:val="24"/>
        </w:rPr>
      </w:pPr>
      <w:r>
        <w:rPr>
          <w:szCs w:val="24"/>
        </w:rPr>
        <w:t>Dampak mayor : risiko mempunyai pengaruh besar pada suatu sasaran strategis dan membutuhkan serius penanganannya</w:t>
      </w:r>
    </w:p>
    <w:p>
      <w:pPr>
        <w:pStyle w:val="28"/>
        <w:numPr>
          <w:ilvl w:val="0"/>
          <w:numId w:val="60"/>
        </w:numPr>
        <w:spacing w:line="360" w:lineRule="auto"/>
        <w:ind w:left="810"/>
        <w:jc w:val="both"/>
        <w:rPr>
          <w:szCs w:val="24"/>
        </w:rPr>
      </w:pPr>
      <w:r>
        <w:rPr>
          <w:szCs w:val="24"/>
        </w:rPr>
        <w:t>Dampak malapetaka : risiko mempunyai pengaruh tidak terpenuhinya suatu sasaran strategis dan membutuhkan upaya sangat serius penanganannya</w:t>
      </w:r>
    </w:p>
    <w:p>
      <w:pPr>
        <w:spacing w:after="0" w:line="360" w:lineRule="auto"/>
        <w:ind w:firstLine="709"/>
        <w:jc w:val="both"/>
        <w:rPr>
          <w:szCs w:val="24"/>
        </w:rPr>
      </w:pPr>
      <w:r>
        <w:rPr>
          <w:szCs w:val="24"/>
        </w:rPr>
        <w:t xml:space="preserve">Berdasarkan pertemuan antara kemungkinan risiko terjadi dan jenis dampak risiko pada suatu sasaran strategis dapat dinilai suatu </w:t>
      </w:r>
      <w:r>
        <w:rPr>
          <w:b/>
          <w:szCs w:val="24"/>
        </w:rPr>
        <w:t>level risiko</w:t>
      </w:r>
      <w:r>
        <w:rPr>
          <w:szCs w:val="24"/>
        </w:rPr>
        <w:t xml:space="preserve"> dengan kualifikasi sebagai berikut (lihat tabel 5.1):</w:t>
      </w:r>
    </w:p>
    <w:p>
      <w:pPr>
        <w:pStyle w:val="28"/>
        <w:numPr>
          <w:ilvl w:val="0"/>
          <w:numId w:val="61"/>
        </w:numPr>
        <w:spacing w:after="0" w:line="360" w:lineRule="auto"/>
        <w:ind w:left="1440" w:hanging="720"/>
        <w:jc w:val="both"/>
        <w:rPr>
          <w:szCs w:val="24"/>
        </w:rPr>
      </w:pPr>
      <w:r>
        <w:rPr>
          <w:szCs w:val="24"/>
        </w:rPr>
        <w:t>Risiko Rendah (kode R)</w:t>
      </w:r>
    </w:p>
    <w:p>
      <w:pPr>
        <w:pStyle w:val="28"/>
        <w:numPr>
          <w:ilvl w:val="0"/>
          <w:numId w:val="61"/>
        </w:numPr>
        <w:spacing w:after="0" w:line="360" w:lineRule="auto"/>
        <w:ind w:left="1440" w:hanging="720"/>
        <w:jc w:val="both"/>
        <w:rPr>
          <w:szCs w:val="24"/>
        </w:rPr>
      </w:pPr>
      <w:r>
        <w:rPr>
          <w:szCs w:val="24"/>
        </w:rPr>
        <w:t>Risiko Moderat (kode M)</w:t>
      </w:r>
    </w:p>
    <w:p>
      <w:pPr>
        <w:pStyle w:val="28"/>
        <w:numPr>
          <w:ilvl w:val="0"/>
          <w:numId w:val="61"/>
        </w:numPr>
        <w:spacing w:after="0" w:line="360" w:lineRule="auto"/>
        <w:ind w:left="1440" w:hanging="720"/>
        <w:jc w:val="both"/>
        <w:rPr>
          <w:szCs w:val="24"/>
        </w:rPr>
      </w:pPr>
      <w:r>
        <w:rPr>
          <w:szCs w:val="24"/>
        </w:rPr>
        <w:t>Risiko Tinggi (kode T, warna kuning)</w:t>
      </w:r>
    </w:p>
    <w:p>
      <w:pPr>
        <w:pStyle w:val="28"/>
        <w:numPr>
          <w:ilvl w:val="0"/>
          <w:numId w:val="61"/>
        </w:numPr>
        <w:spacing w:after="0" w:line="360" w:lineRule="auto"/>
        <w:ind w:left="1440" w:hanging="720"/>
        <w:jc w:val="both"/>
        <w:rPr>
          <w:szCs w:val="24"/>
        </w:rPr>
      </w:pPr>
      <w:r>
        <w:rPr>
          <w:szCs w:val="24"/>
        </w:rPr>
        <w:t>Risiko Ekstrim (kode E, warna merah)</w:t>
      </w:r>
    </w:p>
    <w:p>
      <w:pPr>
        <w:pStyle w:val="28"/>
        <w:spacing w:after="0" w:line="360" w:lineRule="auto"/>
        <w:ind w:left="1440"/>
        <w:jc w:val="both"/>
      </w:pPr>
    </w:p>
    <w:p>
      <w:pPr>
        <w:spacing w:after="0" w:line="240" w:lineRule="auto"/>
        <w:rPr>
          <w:b/>
          <w:bCs/>
          <w:szCs w:val="18"/>
        </w:rPr>
      </w:pPr>
      <w:r>
        <w:br w:type="page"/>
      </w:r>
    </w:p>
    <w:p>
      <w:pPr>
        <w:pStyle w:val="9"/>
        <w:keepNext/>
        <w:rPr>
          <w:lang w:val="id-ID"/>
        </w:rPr>
      </w:pPr>
      <w:bookmarkStart w:id="67" w:name="_Toc430523111"/>
      <w:r>
        <w:t>Tabel 6.</w:t>
      </w:r>
      <w:r>
        <w:fldChar w:fldCharType="begin"/>
      </w:r>
      <w:r>
        <w:instrText xml:space="preserve"> SEQ Tabel_6._ \* ARABIC </w:instrText>
      </w:r>
      <w:r>
        <w:fldChar w:fldCharType="separate"/>
      </w:r>
      <w:r>
        <w:t>1</w:t>
      </w:r>
      <w:r>
        <w:fldChar w:fldCharType="end"/>
      </w:r>
      <w:r>
        <w:rPr>
          <w:lang w:val="id-ID"/>
        </w:rPr>
        <w:t xml:space="preserve"> </w:t>
      </w:r>
      <w:r>
        <w:rPr>
          <w:szCs w:val="24"/>
        </w:rPr>
        <w:t>Acuan Penilaian Risiko</w:t>
      </w:r>
      <w:bookmarkEnd w:id="67"/>
    </w:p>
    <w:tbl>
      <w:tblPr>
        <w:tblStyle w:val="27"/>
        <w:tblW w:w="1253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3121"/>
        <w:gridCol w:w="1790"/>
        <w:gridCol w:w="1746"/>
        <w:gridCol w:w="1604"/>
        <w:gridCol w:w="1748"/>
        <w:gridCol w:w="17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46" w:type="dxa"/>
            <w:gridSpan w:val="2"/>
            <w:vMerge w:val="restart"/>
            <w:shd w:val="clear" w:color="auto" w:fill="66FF66"/>
            <w:vAlign w:val="center"/>
          </w:tcPr>
          <w:p>
            <w:pPr>
              <w:spacing w:after="0" w:line="360" w:lineRule="auto"/>
              <w:jc w:val="center"/>
              <w:rPr>
                <w:rFonts w:eastAsia="Calibri"/>
                <w:b/>
                <w:sz w:val="20"/>
                <w:szCs w:val="16"/>
              </w:rPr>
            </w:pPr>
            <w:r>
              <w:rPr>
                <w:rFonts w:eastAsia="Calibri"/>
                <w:b/>
                <w:sz w:val="20"/>
                <w:szCs w:val="16"/>
              </w:rPr>
              <w:t>Level KEMUNGKINAN</w:t>
            </w:r>
          </w:p>
        </w:tc>
        <w:tc>
          <w:tcPr>
            <w:tcW w:w="8685" w:type="dxa"/>
            <w:gridSpan w:val="5"/>
            <w:vAlign w:val="center"/>
          </w:tcPr>
          <w:p>
            <w:pPr>
              <w:spacing w:after="0" w:line="360" w:lineRule="auto"/>
              <w:jc w:val="center"/>
              <w:rPr>
                <w:rFonts w:eastAsia="Calibri"/>
                <w:b/>
                <w:sz w:val="20"/>
                <w:szCs w:val="16"/>
              </w:rPr>
            </w:pPr>
            <w:r>
              <w:rPr>
                <w:rFonts w:eastAsia="Calibri"/>
                <w:b/>
                <w:sz w:val="20"/>
                <w:szCs w:val="16"/>
              </w:rPr>
              <w:t>Level DAMPAK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46" w:type="dxa"/>
            <w:gridSpan w:val="2"/>
            <w:vMerge w:val="continue"/>
            <w:tcBorders>
              <w:bottom w:val="single" w:color="000000" w:sz="4" w:space="0"/>
            </w:tcBorders>
            <w:shd w:val="clear" w:color="auto" w:fill="66FF66"/>
            <w:vAlign w:val="center"/>
          </w:tcPr>
          <w:p>
            <w:pPr>
              <w:spacing w:after="0" w:line="360" w:lineRule="auto"/>
              <w:jc w:val="center"/>
              <w:rPr>
                <w:rFonts w:eastAsia="Calibri"/>
                <w:sz w:val="20"/>
                <w:szCs w:val="16"/>
              </w:rPr>
            </w:pPr>
          </w:p>
        </w:tc>
        <w:tc>
          <w:tcPr>
            <w:tcW w:w="1790" w:type="dxa"/>
            <w:vAlign w:val="center"/>
          </w:tcPr>
          <w:p>
            <w:pPr>
              <w:spacing w:after="0" w:line="360" w:lineRule="auto"/>
              <w:jc w:val="center"/>
              <w:rPr>
                <w:rFonts w:eastAsia="Calibri"/>
                <w:sz w:val="20"/>
                <w:szCs w:val="16"/>
              </w:rPr>
            </w:pPr>
            <w:r>
              <w:rPr>
                <w:rFonts w:eastAsia="Calibri"/>
                <w:sz w:val="20"/>
                <w:szCs w:val="16"/>
              </w:rPr>
              <w:t>1.</w:t>
            </w:r>
          </w:p>
          <w:p>
            <w:pPr>
              <w:spacing w:after="0" w:line="360" w:lineRule="auto"/>
              <w:jc w:val="center"/>
              <w:rPr>
                <w:rFonts w:eastAsia="Calibri"/>
                <w:sz w:val="20"/>
                <w:szCs w:val="16"/>
              </w:rPr>
            </w:pPr>
            <w:r>
              <w:rPr>
                <w:rFonts w:eastAsia="Calibri"/>
                <w:sz w:val="20"/>
                <w:szCs w:val="16"/>
              </w:rPr>
              <w:t>TIDAK SIGNIFIKAN</w:t>
            </w:r>
          </w:p>
        </w:tc>
        <w:tc>
          <w:tcPr>
            <w:tcW w:w="1746" w:type="dxa"/>
            <w:vAlign w:val="center"/>
          </w:tcPr>
          <w:p>
            <w:pPr>
              <w:pStyle w:val="28"/>
              <w:spacing w:after="0" w:line="360" w:lineRule="auto"/>
              <w:ind w:left="0"/>
              <w:jc w:val="center"/>
              <w:rPr>
                <w:rFonts w:eastAsia="Calibri"/>
                <w:sz w:val="20"/>
                <w:szCs w:val="16"/>
              </w:rPr>
            </w:pPr>
            <w:r>
              <w:rPr>
                <w:rFonts w:eastAsia="Calibri"/>
                <w:sz w:val="20"/>
                <w:szCs w:val="16"/>
              </w:rPr>
              <w:t>2.</w:t>
            </w:r>
          </w:p>
          <w:p>
            <w:pPr>
              <w:pStyle w:val="28"/>
              <w:spacing w:after="0" w:line="360" w:lineRule="auto"/>
              <w:ind w:left="0"/>
              <w:jc w:val="center"/>
              <w:rPr>
                <w:rFonts w:eastAsia="Calibri"/>
                <w:sz w:val="20"/>
                <w:szCs w:val="16"/>
              </w:rPr>
            </w:pPr>
            <w:r>
              <w:rPr>
                <w:rFonts w:eastAsia="Calibri"/>
                <w:sz w:val="20"/>
                <w:szCs w:val="16"/>
              </w:rPr>
              <w:t>MINOR</w:t>
            </w:r>
          </w:p>
        </w:tc>
        <w:tc>
          <w:tcPr>
            <w:tcW w:w="1604" w:type="dxa"/>
            <w:vAlign w:val="center"/>
          </w:tcPr>
          <w:p>
            <w:pPr>
              <w:pStyle w:val="28"/>
              <w:spacing w:after="0" w:line="360" w:lineRule="auto"/>
              <w:ind w:left="0"/>
              <w:jc w:val="center"/>
              <w:rPr>
                <w:rFonts w:eastAsia="Calibri"/>
                <w:sz w:val="20"/>
                <w:szCs w:val="16"/>
              </w:rPr>
            </w:pPr>
            <w:r>
              <w:rPr>
                <w:rFonts w:eastAsia="Calibri"/>
                <w:sz w:val="20"/>
                <w:szCs w:val="16"/>
              </w:rPr>
              <w:t>3.</w:t>
            </w:r>
          </w:p>
          <w:p>
            <w:pPr>
              <w:pStyle w:val="28"/>
              <w:spacing w:after="0" w:line="360" w:lineRule="auto"/>
              <w:ind w:left="0"/>
              <w:jc w:val="center"/>
              <w:rPr>
                <w:rFonts w:eastAsia="Calibri"/>
                <w:sz w:val="20"/>
                <w:szCs w:val="16"/>
              </w:rPr>
            </w:pPr>
            <w:r>
              <w:rPr>
                <w:rFonts w:eastAsia="Calibri"/>
                <w:sz w:val="20"/>
                <w:szCs w:val="16"/>
              </w:rPr>
              <w:t>MEDIUM</w:t>
            </w:r>
          </w:p>
        </w:tc>
        <w:tc>
          <w:tcPr>
            <w:tcW w:w="1748" w:type="dxa"/>
            <w:vAlign w:val="center"/>
          </w:tcPr>
          <w:p>
            <w:pPr>
              <w:pStyle w:val="28"/>
              <w:spacing w:after="0" w:line="360" w:lineRule="auto"/>
              <w:ind w:left="0"/>
              <w:jc w:val="center"/>
              <w:rPr>
                <w:rFonts w:eastAsia="Calibri"/>
                <w:sz w:val="20"/>
                <w:szCs w:val="16"/>
              </w:rPr>
            </w:pPr>
            <w:r>
              <w:rPr>
                <w:rFonts w:eastAsia="Calibri"/>
                <w:sz w:val="20"/>
                <w:szCs w:val="16"/>
              </w:rPr>
              <w:t>4.</w:t>
            </w:r>
          </w:p>
          <w:p>
            <w:pPr>
              <w:pStyle w:val="28"/>
              <w:spacing w:after="0" w:line="360" w:lineRule="auto"/>
              <w:ind w:left="0"/>
              <w:jc w:val="center"/>
              <w:rPr>
                <w:rFonts w:eastAsia="Calibri"/>
                <w:sz w:val="20"/>
                <w:szCs w:val="16"/>
              </w:rPr>
            </w:pPr>
            <w:r>
              <w:rPr>
                <w:rFonts w:eastAsia="Calibri"/>
                <w:sz w:val="20"/>
                <w:szCs w:val="16"/>
              </w:rPr>
              <w:t>MAYOR</w:t>
            </w:r>
          </w:p>
        </w:tc>
        <w:tc>
          <w:tcPr>
            <w:tcW w:w="1797" w:type="dxa"/>
            <w:vAlign w:val="center"/>
          </w:tcPr>
          <w:p>
            <w:pPr>
              <w:spacing w:after="0" w:line="360" w:lineRule="auto"/>
              <w:jc w:val="center"/>
              <w:rPr>
                <w:rFonts w:eastAsia="Calibri"/>
                <w:sz w:val="20"/>
                <w:szCs w:val="16"/>
              </w:rPr>
            </w:pPr>
            <w:r>
              <w:rPr>
                <w:rFonts w:eastAsia="Calibri"/>
                <w:sz w:val="20"/>
                <w:szCs w:val="16"/>
              </w:rPr>
              <w:t>5.</w:t>
            </w:r>
          </w:p>
          <w:p>
            <w:pPr>
              <w:spacing w:after="0" w:line="360" w:lineRule="auto"/>
              <w:jc w:val="center"/>
              <w:rPr>
                <w:rFonts w:eastAsia="Calibri"/>
                <w:sz w:val="20"/>
                <w:szCs w:val="16"/>
              </w:rPr>
            </w:pPr>
            <w:r>
              <w:rPr>
                <w:rFonts w:eastAsia="Calibri"/>
                <w:sz w:val="20"/>
                <w:szCs w:val="16"/>
              </w:rPr>
              <w:t>MALAPETAKA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 w:type="dxa"/>
            <w:tcBorders>
              <w:right w:val="nil"/>
            </w:tcBorders>
            <w:shd w:val="clear" w:color="auto" w:fill="66FF66"/>
            <w:vAlign w:val="center"/>
          </w:tcPr>
          <w:p>
            <w:pPr>
              <w:pStyle w:val="28"/>
              <w:numPr>
                <w:ilvl w:val="0"/>
                <w:numId w:val="62"/>
              </w:numPr>
              <w:spacing w:after="0" w:line="360" w:lineRule="auto"/>
              <w:ind w:left="360" w:hanging="360"/>
              <w:jc w:val="both"/>
              <w:rPr>
                <w:rFonts w:eastAsia="Calibri"/>
                <w:b/>
                <w:sz w:val="20"/>
                <w:szCs w:val="16"/>
              </w:rPr>
            </w:pPr>
          </w:p>
        </w:tc>
        <w:tc>
          <w:tcPr>
            <w:tcW w:w="3121" w:type="dxa"/>
            <w:tcBorders>
              <w:left w:val="nil"/>
            </w:tcBorders>
            <w:shd w:val="clear" w:color="auto" w:fill="66FF66"/>
            <w:vAlign w:val="center"/>
          </w:tcPr>
          <w:p>
            <w:pPr>
              <w:spacing w:after="0" w:line="360" w:lineRule="auto"/>
              <w:jc w:val="right"/>
              <w:rPr>
                <w:rFonts w:eastAsia="Calibri"/>
                <w:b/>
                <w:sz w:val="20"/>
                <w:szCs w:val="16"/>
              </w:rPr>
            </w:pPr>
            <w:r>
              <w:rPr>
                <w:rFonts w:eastAsia="Calibri"/>
                <w:b/>
                <w:sz w:val="20"/>
                <w:szCs w:val="16"/>
              </w:rPr>
              <w:t>SANGAT BESAR</w:t>
            </w:r>
          </w:p>
        </w:tc>
        <w:tc>
          <w:tcPr>
            <w:tcW w:w="1790"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746"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604"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c>
          <w:tcPr>
            <w:tcW w:w="1748"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c>
          <w:tcPr>
            <w:tcW w:w="1797"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 w:type="dxa"/>
            <w:tcBorders>
              <w:right w:val="nil"/>
            </w:tcBorders>
            <w:shd w:val="clear" w:color="auto" w:fill="66FF66"/>
            <w:vAlign w:val="center"/>
          </w:tcPr>
          <w:p>
            <w:pPr>
              <w:pStyle w:val="28"/>
              <w:numPr>
                <w:ilvl w:val="0"/>
                <w:numId w:val="62"/>
              </w:numPr>
              <w:spacing w:after="0" w:line="360" w:lineRule="auto"/>
              <w:ind w:left="360" w:hanging="360"/>
              <w:jc w:val="both"/>
              <w:rPr>
                <w:rFonts w:eastAsia="Calibri"/>
                <w:b/>
                <w:sz w:val="20"/>
                <w:szCs w:val="16"/>
              </w:rPr>
            </w:pPr>
          </w:p>
        </w:tc>
        <w:tc>
          <w:tcPr>
            <w:tcW w:w="3121" w:type="dxa"/>
            <w:tcBorders>
              <w:left w:val="nil"/>
            </w:tcBorders>
            <w:shd w:val="clear" w:color="auto" w:fill="66FF66"/>
            <w:vAlign w:val="center"/>
          </w:tcPr>
          <w:p>
            <w:pPr>
              <w:spacing w:after="0" w:line="360" w:lineRule="auto"/>
              <w:jc w:val="right"/>
              <w:rPr>
                <w:rFonts w:eastAsia="Calibri"/>
                <w:b/>
                <w:sz w:val="20"/>
                <w:szCs w:val="16"/>
              </w:rPr>
            </w:pPr>
            <w:r>
              <w:rPr>
                <w:rFonts w:eastAsia="Calibri"/>
                <w:b/>
                <w:sz w:val="20"/>
                <w:szCs w:val="16"/>
              </w:rPr>
              <w:t>BESAR</w:t>
            </w:r>
          </w:p>
        </w:tc>
        <w:tc>
          <w:tcPr>
            <w:tcW w:w="1790" w:type="dxa"/>
            <w:shd w:val="clear" w:color="auto" w:fill="FFFF00"/>
            <w:vAlign w:val="center"/>
          </w:tcPr>
          <w:p>
            <w:pPr>
              <w:spacing w:after="0" w:line="360" w:lineRule="auto"/>
              <w:jc w:val="center"/>
              <w:rPr>
                <w:rFonts w:eastAsia="Calibri"/>
                <w:b/>
                <w:sz w:val="20"/>
                <w:szCs w:val="16"/>
              </w:rPr>
            </w:pPr>
            <w:r>
              <w:rPr>
                <w:rFonts w:eastAsia="Calibri"/>
                <w:b/>
                <w:sz w:val="20"/>
                <w:szCs w:val="16"/>
              </w:rPr>
              <w:t>M</w:t>
            </w:r>
          </w:p>
        </w:tc>
        <w:tc>
          <w:tcPr>
            <w:tcW w:w="1746"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604"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748"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c>
          <w:tcPr>
            <w:tcW w:w="1797"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 w:type="dxa"/>
            <w:tcBorders>
              <w:right w:val="nil"/>
            </w:tcBorders>
            <w:shd w:val="clear" w:color="auto" w:fill="66FF66"/>
            <w:vAlign w:val="center"/>
          </w:tcPr>
          <w:p>
            <w:pPr>
              <w:pStyle w:val="28"/>
              <w:numPr>
                <w:ilvl w:val="0"/>
                <w:numId w:val="62"/>
              </w:numPr>
              <w:spacing w:after="0" w:line="360" w:lineRule="auto"/>
              <w:ind w:left="360" w:hanging="360"/>
              <w:jc w:val="both"/>
              <w:rPr>
                <w:rFonts w:eastAsia="Calibri"/>
                <w:b/>
                <w:sz w:val="20"/>
                <w:szCs w:val="16"/>
              </w:rPr>
            </w:pPr>
          </w:p>
        </w:tc>
        <w:tc>
          <w:tcPr>
            <w:tcW w:w="3121" w:type="dxa"/>
            <w:tcBorders>
              <w:left w:val="nil"/>
            </w:tcBorders>
            <w:shd w:val="clear" w:color="auto" w:fill="66FF66"/>
            <w:vAlign w:val="center"/>
          </w:tcPr>
          <w:p>
            <w:pPr>
              <w:spacing w:after="0" w:line="360" w:lineRule="auto"/>
              <w:jc w:val="right"/>
              <w:rPr>
                <w:rFonts w:eastAsia="Calibri"/>
                <w:b/>
                <w:sz w:val="20"/>
                <w:szCs w:val="16"/>
              </w:rPr>
            </w:pPr>
            <w:r>
              <w:rPr>
                <w:rFonts w:eastAsia="Calibri"/>
                <w:b/>
                <w:sz w:val="20"/>
                <w:szCs w:val="16"/>
              </w:rPr>
              <w:t>SEDANG</w:t>
            </w:r>
          </w:p>
        </w:tc>
        <w:tc>
          <w:tcPr>
            <w:tcW w:w="1790" w:type="dxa"/>
            <w:shd w:val="clear" w:color="auto" w:fill="00B853"/>
            <w:vAlign w:val="center"/>
          </w:tcPr>
          <w:p>
            <w:pPr>
              <w:spacing w:after="0" w:line="360" w:lineRule="auto"/>
              <w:jc w:val="center"/>
              <w:rPr>
                <w:rFonts w:eastAsia="Calibri"/>
                <w:b/>
                <w:sz w:val="20"/>
                <w:szCs w:val="16"/>
              </w:rPr>
            </w:pPr>
            <w:r>
              <w:rPr>
                <w:rFonts w:eastAsia="Calibri"/>
                <w:b/>
                <w:sz w:val="20"/>
                <w:szCs w:val="16"/>
              </w:rPr>
              <w:t>R</w:t>
            </w:r>
          </w:p>
        </w:tc>
        <w:tc>
          <w:tcPr>
            <w:tcW w:w="1746" w:type="dxa"/>
            <w:shd w:val="clear" w:color="auto" w:fill="FFFF00"/>
            <w:vAlign w:val="center"/>
          </w:tcPr>
          <w:p>
            <w:pPr>
              <w:spacing w:after="0" w:line="360" w:lineRule="auto"/>
              <w:jc w:val="center"/>
              <w:rPr>
                <w:rFonts w:eastAsia="Calibri"/>
                <w:b/>
                <w:sz w:val="20"/>
                <w:szCs w:val="16"/>
              </w:rPr>
            </w:pPr>
            <w:r>
              <w:rPr>
                <w:rFonts w:eastAsia="Calibri"/>
                <w:b/>
                <w:sz w:val="20"/>
                <w:szCs w:val="16"/>
              </w:rPr>
              <w:t>M</w:t>
            </w:r>
          </w:p>
        </w:tc>
        <w:tc>
          <w:tcPr>
            <w:tcW w:w="1604"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748"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c>
          <w:tcPr>
            <w:tcW w:w="1797"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 w:type="dxa"/>
            <w:tcBorders>
              <w:right w:val="nil"/>
            </w:tcBorders>
            <w:shd w:val="clear" w:color="auto" w:fill="66FF66"/>
            <w:vAlign w:val="center"/>
          </w:tcPr>
          <w:p>
            <w:pPr>
              <w:pStyle w:val="28"/>
              <w:numPr>
                <w:ilvl w:val="0"/>
                <w:numId w:val="62"/>
              </w:numPr>
              <w:spacing w:after="0" w:line="360" w:lineRule="auto"/>
              <w:ind w:left="360" w:hanging="360"/>
              <w:jc w:val="both"/>
              <w:rPr>
                <w:rFonts w:eastAsia="Calibri"/>
                <w:b/>
                <w:sz w:val="20"/>
                <w:szCs w:val="16"/>
              </w:rPr>
            </w:pPr>
          </w:p>
        </w:tc>
        <w:tc>
          <w:tcPr>
            <w:tcW w:w="3121" w:type="dxa"/>
            <w:tcBorders>
              <w:left w:val="nil"/>
            </w:tcBorders>
            <w:shd w:val="clear" w:color="auto" w:fill="66FF66"/>
            <w:vAlign w:val="center"/>
          </w:tcPr>
          <w:p>
            <w:pPr>
              <w:spacing w:after="0" w:line="360" w:lineRule="auto"/>
              <w:jc w:val="right"/>
              <w:rPr>
                <w:rFonts w:eastAsia="Calibri"/>
                <w:b/>
                <w:sz w:val="20"/>
                <w:szCs w:val="16"/>
              </w:rPr>
            </w:pPr>
            <w:r>
              <w:rPr>
                <w:rFonts w:eastAsia="Calibri"/>
                <w:b/>
                <w:sz w:val="20"/>
                <w:szCs w:val="16"/>
              </w:rPr>
              <w:t>KECIL</w:t>
            </w:r>
          </w:p>
        </w:tc>
        <w:tc>
          <w:tcPr>
            <w:tcW w:w="1790" w:type="dxa"/>
            <w:shd w:val="clear" w:color="auto" w:fill="00B853"/>
            <w:vAlign w:val="center"/>
          </w:tcPr>
          <w:p>
            <w:pPr>
              <w:spacing w:after="0" w:line="360" w:lineRule="auto"/>
              <w:jc w:val="center"/>
              <w:rPr>
                <w:rFonts w:eastAsia="Calibri"/>
                <w:b/>
                <w:sz w:val="20"/>
                <w:szCs w:val="16"/>
              </w:rPr>
            </w:pPr>
            <w:r>
              <w:rPr>
                <w:rFonts w:eastAsia="Calibri"/>
                <w:b/>
                <w:sz w:val="20"/>
                <w:szCs w:val="16"/>
              </w:rPr>
              <w:t>R</w:t>
            </w:r>
          </w:p>
        </w:tc>
        <w:tc>
          <w:tcPr>
            <w:tcW w:w="1746" w:type="dxa"/>
            <w:shd w:val="clear" w:color="auto" w:fill="00B853"/>
            <w:vAlign w:val="center"/>
          </w:tcPr>
          <w:p>
            <w:pPr>
              <w:spacing w:after="0" w:line="360" w:lineRule="auto"/>
              <w:jc w:val="center"/>
              <w:rPr>
                <w:rFonts w:eastAsia="Calibri"/>
                <w:b/>
                <w:sz w:val="20"/>
                <w:szCs w:val="16"/>
              </w:rPr>
            </w:pPr>
            <w:r>
              <w:rPr>
                <w:rFonts w:eastAsia="Calibri"/>
                <w:b/>
                <w:sz w:val="20"/>
                <w:szCs w:val="16"/>
              </w:rPr>
              <w:t>R</w:t>
            </w:r>
          </w:p>
        </w:tc>
        <w:tc>
          <w:tcPr>
            <w:tcW w:w="1604" w:type="dxa"/>
            <w:shd w:val="clear" w:color="auto" w:fill="FFFF00"/>
            <w:vAlign w:val="center"/>
          </w:tcPr>
          <w:p>
            <w:pPr>
              <w:spacing w:after="0" w:line="360" w:lineRule="auto"/>
              <w:jc w:val="center"/>
              <w:rPr>
                <w:rFonts w:eastAsia="Calibri"/>
                <w:b/>
                <w:sz w:val="20"/>
                <w:szCs w:val="16"/>
              </w:rPr>
            </w:pPr>
            <w:r>
              <w:rPr>
                <w:rFonts w:eastAsia="Calibri"/>
                <w:b/>
                <w:sz w:val="20"/>
                <w:szCs w:val="16"/>
              </w:rPr>
              <w:t>M</w:t>
            </w:r>
          </w:p>
        </w:tc>
        <w:tc>
          <w:tcPr>
            <w:tcW w:w="1748"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797" w:type="dxa"/>
            <w:shd w:val="clear" w:color="auto" w:fill="FF7C80"/>
            <w:vAlign w:val="center"/>
          </w:tcPr>
          <w:p>
            <w:pPr>
              <w:spacing w:after="0" w:line="360" w:lineRule="auto"/>
              <w:jc w:val="center"/>
              <w:rPr>
                <w:rFonts w:eastAsia="Calibri"/>
                <w:b/>
                <w:sz w:val="20"/>
                <w:szCs w:val="16"/>
              </w:rPr>
            </w:pPr>
            <w:r>
              <w:rPr>
                <w:rFonts w:eastAsia="Calibri"/>
                <w:b/>
                <w:sz w:val="20"/>
                <w:szCs w:val="16"/>
              </w:rPr>
              <w: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5" w:type="dxa"/>
            <w:tcBorders>
              <w:right w:val="nil"/>
            </w:tcBorders>
            <w:shd w:val="clear" w:color="auto" w:fill="66FF66"/>
            <w:vAlign w:val="center"/>
          </w:tcPr>
          <w:p>
            <w:pPr>
              <w:pStyle w:val="28"/>
              <w:numPr>
                <w:ilvl w:val="0"/>
                <w:numId w:val="62"/>
              </w:numPr>
              <w:spacing w:after="0" w:line="360" w:lineRule="auto"/>
              <w:ind w:left="360" w:hanging="360"/>
              <w:jc w:val="both"/>
              <w:rPr>
                <w:rFonts w:eastAsia="Calibri"/>
                <w:b/>
                <w:sz w:val="20"/>
                <w:szCs w:val="16"/>
              </w:rPr>
            </w:pPr>
          </w:p>
        </w:tc>
        <w:tc>
          <w:tcPr>
            <w:tcW w:w="3121" w:type="dxa"/>
            <w:tcBorders>
              <w:left w:val="nil"/>
            </w:tcBorders>
            <w:shd w:val="clear" w:color="auto" w:fill="66FF66"/>
            <w:vAlign w:val="center"/>
          </w:tcPr>
          <w:p>
            <w:pPr>
              <w:spacing w:after="0" w:line="360" w:lineRule="auto"/>
              <w:jc w:val="right"/>
              <w:rPr>
                <w:rFonts w:eastAsia="Calibri"/>
                <w:b/>
                <w:sz w:val="20"/>
                <w:szCs w:val="16"/>
              </w:rPr>
            </w:pPr>
            <w:r>
              <w:rPr>
                <w:rFonts w:eastAsia="Calibri"/>
                <w:b/>
                <w:sz w:val="20"/>
                <w:szCs w:val="16"/>
              </w:rPr>
              <w:t>SANGAT KECIL</w:t>
            </w:r>
          </w:p>
        </w:tc>
        <w:tc>
          <w:tcPr>
            <w:tcW w:w="1790" w:type="dxa"/>
            <w:shd w:val="clear" w:color="auto" w:fill="00B853"/>
            <w:vAlign w:val="center"/>
          </w:tcPr>
          <w:p>
            <w:pPr>
              <w:spacing w:after="0" w:line="360" w:lineRule="auto"/>
              <w:jc w:val="center"/>
              <w:rPr>
                <w:rFonts w:eastAsia="Calibri"/>
                <w:b/>
                <w:sz w:val="20"/>
                <w:szCs w:val="16"/>
              </w:rPr>
            </w:pPr>
            <w:r>
              <w:rPr>
                <w:rFonts w:eastAsia="Calibri"/>
                <w:b/>
                <w:sz w:val="20"/>
                <w:szCs w:val="16"/>
              </w:rPr>
              <w:t>R</w:t>
            </w:r>
          </w:p>
        </w:tc>
        <w:tc>
          <w:tcPr>
            <w:tcW w:w="1746" w:type="dxa"/>
            <w:shd w:val="clear" w:color="auto" w:fill="00B853"/>
            <w:vAlign w:val="center"/>
          </w:tcPr>
          <w:p>
            <w:pPr>
              <w:spacing w:after="0" w:line="360" w:lineRule="auto"/>
              <w:jc w:val="center"/>
              <w:rPr>
                <w:rFonts w:eastAsia="Calibri"/>
                <w:b/>
                <w:sz w:val="20"/>
                <w:szCs w:val="16"/>
              </w:rPr>
            </w:pPr>
            <w:r>
              <w:rPr>
                <w:rFonts w:eastAsia="Calibri"/>
                <w:b/>
                <w:sz w:val="20"/>
                <w:szCs w:val="16"/>
              </w:rPr>
              <w:t>R</w:t>
            </w:r>
          </w:p>
        </w:tc>
        <w:tc>
          <w:tcPr>
            <w:tcW w:w="1604" w:type="dxa"/>
            <w:shd w:val="clear" w:color="auto" w:fill="FFFF00"/>
            <w:vAlign w:val="center"/>
          </w:tcPr>
          <w:p>
            <w:pPr>
              <w:spacing w:after="0" w:line="360" w:lineRule="auto"/>
              <w:jc w:val="center"/>
              <w:rPr>
                <w:rFonts w:eastAsia="Calibri"/>
                <w:b/>
                <w:sz w:val="20"/>
                <w:szCs w:val="16"/>
              </w:rPr>
            </w:pPr>
            <w:r>
              <w:rPr>
                <w:rFonts w:eastAsia="Calibri"/>
                <w:b/>
                <w:sz w:val="20"/>
                <w:szCs w:val="16"/>
              </w:rPr>
              <w:t>M</w:t>
            </w:r>
          </w:p>
        </w:tc>
        <w:tc>
          <w:tcPr>
            <w:tcW w:w="1748"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c>
          <w:tcPr>
            <w:tcW w:w="1797" w:type="dxa"/>
            <w:shd w:val="clear" w:color="auto" w:fill="FEAD26" w:themeFill="accent3"/>
            <w:vAlign w:val="center"/>
          </w:tcPr>
          <w:p>
            <w:pPr>
              <w:spacing w:after="0" w:line="360" w:lineRule="auto"/>
              <w:jc w:val="center"/>
              <w:rPr>
                <w:rFonts w:eastAsia="Calibri"/>
                <w:b/>
                <w:sz w:val="20"/>
                <w:szCs w:val="16"/>
              </w:rPr>
            </w:pPr>
            <w:r>
              <w:rPr>
                <w:rFonts w:eastAsia="Calibri"/>
                <w:b/>
                <w:sz w:val="20"/>
                <w:szCs w:val="16"/>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531" w:type="dxa"/>
            <w:gridSpan w:val="7"/>
            <w:shd w:val="clear" w:color="auto" w:fill="FF7C80"/>
            <w:vAlign w:val="center"/>
          </w:tcPr>
          <w:p>
            <w:pPr>
              <w:spacing w:after="0" w:line="360" w:lineRule="auto"/>
              <w:jc w:val="center"/>
              <w:rPr>
                <w:rFonts w:eastAsia="Calibri"/>
                <w:sz w:val="20"/>
                <w:szCs w:val="16"/>
              </w:rPr>
            </w:pPr>
            <w:r>
              <w:rPr>
                <w:rFonts w:eastAsia="Calibri"/>
                <w:sz w:val="20"/>
                <w:szCs w:val="16"/>
              </w:rPr>
              <w:t>Keterangan: R: Risiko Rendah, M: Risiko Moderat, T: Risiko Tinggi, E: Risiko Ekstrim</w:t>
            </w:r>
          </w:p>
        </w:tc>
      </w:tr>
    </w:tbl>
    <w:p>
      <w:pPr>
        <w:spacing w:after="0" w:line="360" w:lineRule="auto"/>
        <w:jc w:val="both"/>
      </w:pPr>
    </w:p>
    <w:p>
      <w:pPr>
        <w:spacing w:after="0" w:line="360" w:lineRule="auto"/>
        <w:ind w:left="1560"/>
        <w:jc w:val="both"/>
      </w:pPr>
      <w:r>
        <w:t xml:space="preserve">Tabel </w:t>
      </w:r>
      <w:r>
        <w:rPr>
          <w:lang w:val="id-ID"/>
        </w:rPr>
        <w:t>6</w:t>
      </w:r>
      <w:r>
        <w:t>.2 menyajikan hasil analisa risiko yang menggambarkan sasaran strategis, identifikasi risiko, tingkat kemungkinan, skala dampak, dan level risiko bagi RSHS</w:t>
      </w:r>
      <w:r>
        <w:rPr>
          <w:color w:val="FF0000"/>
        </w:rPr>
        <w:t xml:space="preserve"> </w:t>
      </w:r>
      <w:r>
        <w:t>dalam rangka mewujudkan visi 2019.</w:t>
      </w:r>
    </w:p>
    <w:p>
      <w:pPr>
        <w:pStyle w:val="28"/>
        <w:spacing w:after="0" w:line="360" w:lineRule="auto"/>
        <w:ind w:left="1440"/>
        <w:jc w:val="both"/>
        <w:sectPr>
          <w:type w:val="continuous"/>
          <w:pgSz w:w="16839" w:h="11907" w:orient="landscape"/>
          <w:pgMar w:top="1440" w:right="1440" w:bottom="1440" w:left="1440" w:header="720" w:footer="312" w:gutter="0"/>
          <w:cols w:space="720" w:num="1"/>
          <w:docGrid w:linePitch="360" w:charSpace="0"/>
        </w:sectPr>
      </w:pPr>
    </w:p>
    <w:p>
      <w:pPr>
        <w:pStyle w:val="28"/>
        <w:spacing w:after="0" w:line="360" w:lineRule="auto"/>
        <w:ind w:left="1440"/>
        <w:jc w:val="both"/>
      </w:pPr>
    </w:p>
    <w:p>
      <w:pPr>
        <w:jc w:val="both"/>
        <w:rPr>
          <w:b/>
          <w:sz w:val="20"/>
          <w:szCs w:val="20"/>
        </w:rPr>
        <w:sectPr>
          <w:type w:val="continuous"/>
          <w:pgSz w:w="16839" w:h="11907" w:orient="landscape"/>
          <w:pgMar w:top="1440" w:right="1440" w:bottom="1440" w:left="1440" w:header="720" w:footer="312" w:gutter="0"/>
          <w:cols w:space="720" w:num="2"/>
          <w:docGrid w:linePitch="360" w:charSpace="0"/>
        </w:sectPr>
      </w:pPr>
    </w:p>
    <w:p>
      <w:pPr>
        <w:pStyle w:val="9"/>
        <w:keepNext/>
        <w:pageBreakBefore/>
      </w:pPr>
      <w:bookmarkStart w:id="68" w:name="_Toc430523112"/>
      <w:bookmarkStart w:id="69" w:name="_Toc398397501"/>
      <w:r>
        <w:t>Tabel 6.</w:t>
      </w:r>
      <w:r>
        <w:fldChar w:fldCharType="begin"/>
      </w:r>
      <w:r>
        <w:instrText xml:space="preserve"> SEQ Tabel_6._ \* ARABIC </w:instrText>
      </w:r>
      <w:r>
        <w:fldChar w:fldCharType="separate"/>
      </w:r>
      <w:r>
        <w:t>2</w:t>
      </w:r>
      <w:r>
        <w:fldChar w:fldCharType="end"/>
      </w:r>
      <w:r>
        <w:rPr>
          <w:lang w:val="id-ID"/>
        </w:rPr>
        <w:t xml:space="preserve">. </w:t>
      </w:r>
      <w:r>
        <w:t>Pemetaan Risiko terkait Pencapaian Sasaran Strategis</w:t>
      </w:r>
      <w:bookmarkEnd w:id="68"/>
      <w:bookmarkEnd w:id="69"/>
    </w:p>
    <w:tbl>
      <w:tblPr>
        <w:tblStyle w:val="26"/>
        <w:tblW w:w="13734" w:type="dxa"/>
        <w:tblInd w:w="0" w:type="dxa"/>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
      <w:tblGrid>
        <w:gridCol w:w="4106"/>
        <w:gridCol w:w="560"/>
        <w:gridCol w:w="7828"/>
        <w:gridCol w:w="1240"/>
      </w:tblGrid>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blHeader/>
        </w:trPr>
        <w:tc>
          <w:tcPr>
            <w:tcW w:w="4106" w:type="dxa"/>
            <w:shd w:val="clear" w:color="auto" w:fill="259073" w:themeFill="accent2"/>
          </w:tcPr>
          <w:p>
            <w:pPr>
              <w:keepNext/>
              <w:spacing w:after="0" w:line="240" w:lineRule="auto"/>
              <w:jc w:val="center"/>
              <w:rPr>
                <w:b/>
                <w:bCs/>
                <w:color w:val="FFFFFF" w:themeColor="background1"/>
                <w14:textFill>
                  <w14:solidFill>
                    <w14:schemeClr w14:val="bg1"/>
                  </w14:solidFill>
                </w14:textFill>
              </w:rPr>
            </w:pPr>
            <w:r>
              <w:rPr>
                <w:b/>
                <w:bCs/>
                <w:color w:val="FFFFFF" w:themeColor="background1"/>
                <w14:textFill>
                  <w14:solidFill>
                    <w14:schemeClr w14:val="bg1"/>
                  </w14:solidFill>
                </w14:textFill>
              </w:rPr>
              <w:t>Sasaran Strategis</w:t>
            </w:r>
          </w:p>
        </w:tc>
        <w:tc>
          <w:tcPr>
            <w:tcW w:w="560" w:type="dxa"/>
            <w:shd w:val="clear" w:color="auto" w:fill="259073" w:themeFill="accent2"/>
          </w:tcPr>
          <w:p>
            <w:pPr>
              <w:keepNext/>
              <w:spacing w:after="0" w:line="240" w:lineRule="auto"/>
              <w:jc w:val="center"/>
              <w:rPr>
                <w:b/>
                <w:bCs/>
                <w:color w:val="FFFFFF" w:themeColor="background1"/>
                <w14:textFill>
                  <w14:solidFill>
                    <w14:schemeClr w14:val="bg1"/>
                  </w14:solidFill>
                </w14:textFill>
              </w:rPr>
            </w:pPr>
            <w:r>
              <w:rPr>
                <w:b/>
                <w:bCs/>
                <w:color w:val="FFFFFF" w:themeColor="background1"/>
                <w14:textFill>
                  <w14:solidFill>
                    <w14:schemeClr w14:val="bg1"/>
                  </w14:solidFill>
                </w14:textFill>
              </w:rPr>
              <w:t>No</w:t>
            </w:r>
          </w:p>
        </w:tc>
        <w:tc>
          <w:tcPr>
            <w:tcW w:w="7828" w:type="dxa"/>
            <w:shd w:val="clear" w:color="auto" w:fill="259073" w:themeFill="accent2"/>
          </w:tcPr>
          <w:p>
            <w:pPr>
              <w:keepNext/>
              <w:spacing w:after="0" w:line="240" w:lineRule="auto"/>
              <w:jc w:val="center"/>
              <w:rPr>
                <w:b/>
                <w:bCs/>
                <w:color w:val="FFFFFF" w:themeColor="background1"/>
                <w14:textFill>
                  <w14:solidFill>
                    <w14:schemeClr w14:val="bg1"/>
                  </w14:solidFill>
                </w14:textFill>
              </w:rPr>
            </w:pPr>
            <w:r>
              <w:rPr>
                <w:b/>
                <w:bCs/>
                <w:color w:val="FFFFFF" w:themeColor="background1"/>
                <w14:textFill>
                  <w14:solidFill>
                    <w14:schemeClr w14:val="bg1"/>
                  </w14:solidFill>
                </w14:textFill>
              </w:rPr>
              <w:t>Risiko</w:t>
            </w:r>
          </w:p>
        </w:tc>
        <w:tc>
          <w:tcPr>
            <w:tcW w:w="1240" w:type="dxa"/>
            <w:shd w:val="clear" w:color="auto" w:fill="259073" w:themeFill="accent2"/>
          </w:tcPr>
          <w:p>
            <w:pPr>
              <w:keepNext/>
              <w:spacing w:after="0" w:line="240" w:lineRule="auto"/>
              <w:jc w:val="center"/>
              <w:rPr>
                <w:b/>
                <w:bCs/>
                <w:color w:val="FFFFFF" w:themeColor="background1"/>
                <w14:textFill>
                  <w14:solidFill>
                    <w14:schemeClr w14:val="bg1"/>
                  </w14:solidFill>
                </w14:textFill>
              </w:rPr>
            </w:pPr>
            <w:r>
              <w:rPr>
                <w:b/>
                <w:bCs/>
                <w:color w:val="FFFFFF" w:themeColor="background1"/>
                <w14:textFill>
                  <w14:solidFill>
                    <w14:schemeClr w14:val="bg1"/>
                  </w14:solidFill>
                </w14:textFill>
              </w:rPr>
              <w:t>Level Risiko</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170" w:hRule="atLeast"/>
        </w:trPr>
        <w:tc>
          <w:tcPr>
            <w:tcW w:w="4106" w:type="dxa"/>
            <w:vMerge w:val="restart"/>
            <w:shd w:val="clear" w:color="auto" w:fill="auto"/>
          </w:tcPr>
          <w:p>
            <w:pPr>
              <w:spacing w:after="0" w:line="240" w:lineRule="auto"/>
              <w:rPr>
                <w:b/>
                <w:bCs/>
                <w:color w:val="000000"/>
              </w:rPr>
            </w:pPr>
            <w:r>
              <w:rPr>
                <w:b/>
                <w:bCs/>
                <w:color w:val="000000"/>
              </w:rPr>
              <w:t>Terwujudnya RSHS</w:t>
            </w:r>
            <w:r>
              <w:rPr>
                <w:b/>
                <w:bCs/>
                <w:color w:val="FF0000"/>
              </w:rPr>
              <w:t xml:space="preserve"> </w:t>
            </w:r>
            <w:r>
              <w:rPr>
                <w:b/>
                <w:bCs/>
                <w:color w:val="000000"/>
              </w:rPr>
              <w:t>sebagai pilihan utama masyarakat </w:t>
            </w:r>
          </w:p>
        </w:tc>
        <w:tc>
          <w:tcPr>
            <w:tcW w:w="560" w:type="dxa"/>
            <w:shd w:val="clear" w:color="auto" w:fill="auto"/>
          </w:tcPr>
          <w:p>
            <w:pPr>
              <w:spacing w:after="0" w:line="240" w:lineRule="auto"/>
              <w:jc w:val="center"/>
              <w:rPr>
                <w:color w:val="000000"/>
              </w:rPr>
            </w:pPr>
            <w:r>
              <w:rPr>
                <w:color w:val="000000"/>
              </w:rPr>
              <w:t>1</w:t>
            </w:r>
          </w:p>
        </w:tc>
        <w:tc>
          <w:tcPr>
            <w:tcW w:w="7828" w:type="dxa"/>
            <w:shd w:val="clear" w:color="auto" w:fill="auto"/>
          </w:tcPr>
          <w:p>
            <w:pPr>
              <w:spacing w:after="0" w:line="240" w:lineRule="auto"/>
              <w:rPr>
                <w:color w:val="000000"/>
              </w:rPr>
            </w:pPr>
            <w:r>
              <w:rPr>
                <w:color w:val="000000"/>
              </w:rPr>
              <w:t>Citra kurang baik sebagai RS Pendidikan yang melekat di masyarakat</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2</w:t>
            </w:r>
          </w:p>
        </w:tc>
        <w:tc>
          <w:tcPr>
            <w:tcW w:w="7828" w:type="dxa"/>
            <w:shd w:val="clear" w:color="auto" w:fill="auto"/>
          </w:tcPr>
          <w:p>
            <w:pPr>
              <w:spacing w:after="0" w:line="240" w:lineRule="auto"/>
              <w:rPr>
                <w:color w:val="000000"/>
              </w:rPr>
            </w:pPr>
            <w:r>
              <w:rPr>
                <w:color w:val="000000"/>
              </w:rPr>
              <w:t>Regulasi yang belum mendukung inovasi medis</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restart"/>
            <w:shd w:val="clear" w:color="auto" w:fill="auto"/>
          </w:tcPr>
          <w:p>
            <w:pPr>
              <w:spacing w:after="0" w:line="240" w:lineRule="auto"/>
              <w:rPr>
                <w:b/>
                <w:bCs/>
                <w:color w:val="000000"/>
              </w:rPr>
            </w:pPr>
            <w:r>
              <w:rPr>
                <w:b/>
                <w:bCs/>
                <w:color w:val="000000"/>
              </w:rPr>
              <w:t>Terwujudnya layanan unggulan</w:t>
            </w:r>
          </w:p>
          <w:p>
            <w:pPr>
              <w:spacing w:after="0" w:line="240" w:lineRule="auto"/>
              <w:rPr>
                <w:b/>
                <w:bCs/>
                <w:color w:val="000000"/>
              </w:rPr>
            </w:pPr>
            <w:r>
              <w:rPr>
                <w:b/>
                <w:bCs/>
                <w:color w:val="000000"/>
              </w:rPr>
              <w:t> </w:t>
            </w:r>
          </w:p>
        </w:tc>
        <w:tc>
          <w:tcPr>
            <w:tcW w:w="560" w:type="dxa"/>
            <w:shd w:val="clear" w:color="auto" w:fill="auto"/>
          </w:tcPr>
          <w:p>
            <w:pPr>
              <w:spacing w:after="0" w:line="240" w:lineRule="auto"/>
              <w:jc w:val="center"/>
              <w:rPr>
                <w:color w:val="000000"/>
              </w:rPr>
            </w:pPr>
            <w:r>
              <w:rPr>
                <w:color w:val="000000"/>
              </w:rPr>
              <w:t>3</w:t>
            </w:r>
          </w:p>
        </w:tc>
        <w:tc>
          <w:tcPr>
            <w:tcW w:w="7828" w:type="dxa"/>
            <w:shd w:val="clear" w:color="auto" w:fill="auto"/>
          </w:tcPr>
          <w:p>
            <w:pPr>
              <w:spacing w:after="0" w:line="240" w:lineRule="auto"/>
              <w:rPr>
                <w:color w:val="000000"/>
              </w:rPr>
            </w:pPr>
            <w:r>
              <w:rPr>
                <w:color w:val="000000"/>
              </w:rPr>
              <w:t>Sistem rujukan yang tidak berjalan</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4</w:t>
            </w:r>
          </w:p>
        </w:tc>
        <w:tc>
          <w:tcPr>
            <w:tcW w:w="7828" w:type="dxa"/>
            <w:shd w:val="clear" w:color="auto" w:fill="auto"/>
          </w:tcPr>
          <w:p>
            <w:pPr>
              <w:spacing w:after="0" w:line="240" w:lineRule="auto"/>
              <w:rPr>
                <w:color w:val="000000"/>
              </w:rPr>
            </w:pPr>
            <w:r>
              <w:rPr>
                <w:color w:val="000000"/>
              </w:rPr>
              <w:t>Tidak termasuk dalam kasus yang ditanggung seluruhnya oleh BPJS atau asuransi lain</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332" w:hRule="atLeast"/>
        </w:trPr>
        <w:tc>
          <w:tcPr>
            <w:tcW w:w="4106" w:type="dxa"/>
            <w:vMerge w:val="restart"/>
            <w:shd w:val="clear" w:color="auto" w:fill="auto"/>
          </w:tcPr>
          <w:p>
            <w:pPr>
              <w:spacing w:after="0" w:line="240" w:lineRule="auto"/>
              <w:rPr>
                <w:b/>
                <w:bCs/>
                <w:color w:val="000000"/>
              </w:rPr>
            </w:pPr>
            <w:r>
              <w:rPr>
                <w:b/>
                <w:bCs/>
                <w:color w:val="000000"/>
              </w:rPr>
              <w:t>Terwujudnya penyempurnaan sistem rujukan dalam jejaring kesehatan </w:t>
            </w:r>
          </w:p>
        </w:tc>
        <w:tc>
          <w:tcPr>
            <w:tcW w:w="560" w:type="dxa"/>
            <w:shd w:val="clear" w:color="auto" w:fill="auto"/>
          </w:tcPr>
          <w:p>
            <w:pPr>
              <w:spacing w:after="0" w:line="240" w:lineRule="auto"/>
              <w:jc w:val="center"/>
              <w:rPr>
                <w:color w:val="000000"/>
              </w:rPr>
            </w:pPr>
            <w:r>
              <w:rPr>
                <w:color w:val="000000"/>
              </w:rPr>
              <w:t>5</w:t>
            </w:r>
          </w:p>
        </w:tc>
        <w:tc>
          <w:tcPr>
            <w:tcW w:w="7828" w:type="dxa"/>
            <w:shd w:val="clear" w:color="auto" w:fill="auto"/>
          </w:tcPr>
          <w:p>
            <w:pPr>
              <w:spacing w:after="0" w:line="240" w:lineRule="auto"/>
              <w:rPr>
                <w:color w:val="000000"/>
              </w:rPr>
            </w:pPr>
            <w:r>
              <w:rPr>
                <w:color w:val="000000"/>
              </w:rPr>
              <w:t>Keterbatasan kompetensi dan alat di RS asal rujukan</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6</w:t>
            </w:r>
          </w:p>
        </w:tc>
        <w:tc>
          <w:tcPr>
            <w:tcW w:w="7828" w:type="dxa"/>
            <w:shd w:val="clear" w:color="auto" w:fill="auto"/>
          </w:tcPr>
          <w:p>
            <w:pPr>
              <w:spacing w:after="0" w:line="240" w:lineRule="auto"/>
              <w:rPr>
                <w:color w:val="000000"/>
              </w:rPr>
            </w:pPr>
            <w:r>
              <w:rPr>
                <w:color w:val="000000"/>
              </w:rPr>
              <w:t>Pasien yang kurang percaya pada layanan jejaring</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restart"/>
            <w:shd w:val="clear" w:color="auto" w:fill="auto"/>
          </w:tcPr>
          <w:p>
            <w:pPr>
              <w:spacing w:after="0" w:line="240" w:lineRule="auto"/>
              <w:rPr>
                <w:b/>
                <w:bCs/>
                <w:color w:val="000000"/>
              </w:rPr>
            </w:pPr>
            <w:r>
              <w:rPr>
                <w:b/>
                <w:bCs/>
                <w:color w:val="000000"/>
              </w:rPr>
              <w:t>Terwujudnya kemitraan strategis (ABGCM) </w:t>
            </w:r>
          </w:p>
        </w:tc>
        <w:tc>
          <w:tcPr>
            <w:tcW w:w="560" w:type="dxa"/>
            <w:shd w:val="clear" w:color="auto" w:fill="auto"/>
          </w:tcPr>
          <w:p>
            <w:pPr>
              <w:spacing w:after="0" w:line="240" w:lineRule="auto"/>
              <w:jc w:val="center"/>
              <w:rPr>
                <w:color w:val="000000"/>
              </w:rPr>
            </w:pPr>
            <w:r>
              <w:rPr>
                <w:color w:val="000000"/>
              </w:rPr>
              <w:t>7</w:t>
            </w:r>
          </w:p>
        </w:tc>
        <w:tc>
          <w:tcPr>
            <w:tcW w:w="7828" w:type="dxa"/>
            <w:shd w:val="clear" w:color="auto" w:fill="auto"/>
          </w:tcPr>
          <w:p>
            <w:pPr>
              <w:spacing w:after="0" w:line="240" w:lineRule="auto"/>
              <w:rPr>
                <w:color w:val="000000"/>
              </w:rPr>
            </w:pPr>
            <w:r>
              <w:rPr>
                <w:color w:val="000000"/>
              </w:rPr>
              <w:t>Keengganan mitra untuk bekerja sama (beda perspektif kepentingan)</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117"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8</w:t>
            </w:r>
          </w:p>
        </w:tc>
        <w:tc>
          <w:tcPr>
            <w:tcW w:w="7828" w:type="dxa"/>
            <w:shd w:val="clear" w:color="auto" w:fill="auto"/>
          </w:tcPr>
          <w:p>
            <w:pPr>
              <w:spacing w:after="0" w:line="240" w:lineRule="auto"/>
              <w:rPr>
                <w:color w:val="000000"/>
              </w:rPr>
            </w:pPr>
            <w:r>
              <w:rPr>
                <w:color w:val="000000"/>
              </w:rPr>
              <w:t>Perubahan kebijakan regulasi KSO</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shd w:val="clear" w:color="auto" w:fill="auto"/>
          </w:tcPr>
          <w:p>
            <w:pPr>
              <w:spacing w:after="0" w:line="240" w:lineRule="auto"/>
              <w:rPr>
                <w:b/>
                <w:bCs/>
                <w:color w:val="000000"/>
              </w:rPr>
            </w:pPr>
            <w:r>
              <w:rPr>
                <w:b/>
                <w:bCs/>
                <w:color w:val="000000"/>
              </w:rPr>
              <w:t>Terwujudnya integrasi layanan, pendidikan dan penelitian</w:t>
            </w:r>
          </w:p>
        </w:tc>
        <w:tc>
          <w:tcPr>
            <w:tcW w:w="560" w:type="dxa"/>
            <w:shd w:val="clear" w:color="auto" w:fill="auto"/>
          </w:tcPr>
          <w:p>
            <w:pPr>
              <w:spacing w:after="0" w:line="240" w:lineRule="auto"/>
              <w:jc w:val="center"/>
              <w:rPr>
                <w:color w:val="000000"/>
              </w:rPr>
            </w:pPr>
            <w:r>
              <w:rPr>
                <w:color w:val="000000"/>
              </w:rPr>
              <w:t>9</w:t>
            </w:r>
          </w:p>
        </w:tc>
        <w:tc>
          <w:tcPr>
            <w:tcW w:w="7828" w:type="dxa"/>
            <w:shd w:val="clear" w:color="auto" w:fill="auto"/>
          </w:tcPr>
          <w:p>
            <w:pPr>
              <w:spacing w:after="0" w:line="240" w:lineRule="auto"/>
              <w:rPr>
                <w:color w:val="000000"/>
              </w:rPr>
            </w:pPr>
            <w:r>
              <w:rPr>
                <w:color w:val="000000"/>
              </w:rPr>
              <w:t xml:space="preserve">Kesadaran dan kedisiplinan staf dalam menjalankan CP </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restart"/>
            <w:shd w:val="clear" w:color="auto" w:fill="auto"/>
          </w:tcPr>
          <w:p>
            <w:pPr>
              <w:spacing w:after="0" w:line="240" w:lineRule="auto"/>
              <w:rPr>
                <w:b/>
                <w:bCs/>
                <w:color w:val="000000"/>
              </w:rPr>
            </w:pPr>
            <w:r>
              <w:rPr>
                <w:b/>
                <w:bCs/>
                <w:color w:val="000000"/>
              </w:rPr>
              <w:t>Terwujudnya pengarus-utamaan riset pusat studi untuk kesehatan masyarakat</w:t>
            </w:r>
          </w:p>
          <w:p>
            <w:pPr>
              <w:spacing w:after="0" w:line="240" w:lineRule="auto"/>
              <w:rPr>
                <w:b/>
                <w:bCs/>
                <w:color w:val="000000"/>
              </w:rPr>
            </w:pPr>
            <w:r>
              <w:rPr>
                <w:b/>
                <w:bCs/>
                <w:color w:val="000000"/>
              </w:rPr>
              <w:t>  </w:t>
            </w:r>
          </w:p>
        </w:tc>
        <w:tc>
          <w:tcPr>
            <w:tcW w:w="560" w:type="dxa"/>
            <w:shd w:val="clear" w:color="auto" w:fill="auto"/>
          </w:tcPr>
          <w:p>
            <w:pPr>
              <w:spacing w:after="0" w:line="240" w:lineRule="auto"/>
              <w:jc w:val="center"/>
              <w:rPr>
                <w:color w:val="000000"/>
              </w:rPr>
            </w:pPr>
            <w:r>
              <w:rPr>
                <w:color w:val="000000"/>
              </w:rPr>
              <w:t>11</w:t>
            </w:r>
          </w:p>
        </w:tc>
        <w:tc>
          <w:tcPr>
            <w:tcW w:w="7828" w:type="dxa"/>
            <w:shd w:val="clear" w:color="auto" w:fill="auto"/>
          </w:tcPr>
          <w:p>
            <w:pPr>
              <w:spacing w:after="0" w:line="240" w:lineRule="auto"/>
              <w:rPr>
                <w:color w:val="000000"/>
              </w:rPr>
            </w:pPr>
            <w:r>
              <w:rPr>
                <w:color w:val="000000"/>
              </w:rPr>
              <w:t>Keengganan staf peneliti untuk menyesuaikan roadmap riset terhadap main-streaming yang ditentukan</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12</w:t>
            </w:r>
          </w:p>
        </w:tc>
        <w:tc>
          <w:tcPr>
            <w:tcW w:w="7828" w:type="dxa"/>
            <w:shd w:val="clear" w:color="auto" w:fill="auto"/>
          </w:tcPr>
          <w:p>
            <w:pPr>
              <w:spacing w:after="0" w:line="240" w:lineRule="auto"/>
              <w:rPr>
                <w:color w:val="000000"/>
              </w:rPr>
            </w:pPr>
            <w:r>
              <w:rPr>
                <w:color w:val="000000"/>
              </w:rPr>
              <w:t>Keterbatasan waktu staf (sibuk dengan pelayanan dan pendidikan)</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13</w:t>
            </w:r>
          </w:p>
        </w:tc>
        <w:tc>
          <w:tcPr>
            <w:tcW w:w="7828" w:type="dxa"/>
            <w:shd w:val="clear" w:color="auto" w:fill="auto"/>
          </w:tcPr>
          <w:p>
            <w:pPr>
              <w:spacing w:after="0" w:line="240" w:lineRule="auto"/>
              <w:rPr>
                <w:color w:val="000000"/>
              </w:rPr>
            </w:pPr>
            <w:r>
              <w:rPr>
                <w:color w:val="000000"/>
              </w:rPr>
              <w:t>Perubahan fokus atau trend kebutuhan masyarakat</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600" w:hRule="atLeast"/>
        </w:trPr>
        <w:tc>
          <w:tcPr>
            <w:tcW w:w="4106" w:type="dxa"/>
            <w:shd w:val="clear" w:color="auto" w:fill="auto"/>
          </w:tcPr>
          <w:p>
            <w:pPr>
              <w:spacing w:after="0" w:line="240" w:lineRule="auto"/>
              <w:rPr>
                <w:b/>
                <w:bCs/>
                <w:color w:val="000000"/>
              </w:rPr>
            </w:pPr>
            <w:r>
              <w:rPr>
                <w:b/>
                <w:bCs/>
                <w:color w:val="000000"/>
              </w:rPr>
              <w:t xml:space="preserve">Terwujudnya penyempurnaan keorganisasian AHS </w:t>
            </w:r>
          </w:p>
        </w:tc>
        <w:tc>
          <w:tcPr>
            <w:tcW w:w="560" w:type="dxa"/>
            <w:shd w:val="clear" w:color="auto" w:fill="auto"/>
          </w:tcPr>
          <w:p>
            <w:pPr>
              <w:spacing w:after="0" w:line="240" w:lineRule="auto"/>
              <w:jc w:val="center"/>
              <w:rPr>
                <w:color w:val="000000"/>
              </w:rPr>
            </w:pPr>
            <w:r>
              <w:rPr>
                <w:color w:val="000000"/>
              </w:rPr>
              <w:t>14</w:t>
            </w:r>
          </w:p>
        </w:tc>
        <w:tc>
          <w:tcPr>
            <w:tcW w:w="7828" w:type="dxa"/>
            <w:shd w:val="clear" w:color="auto" w:fill="auto"/>
          </w:tcPr>
          <w:p>
            <w:pPr>
              <w:spacing w:after="0" w:line="240" w:lineRule="auto"/>
              <w:rPr>
                <w:color w:val="000000"/>
              </w:rPr>
            </w:pPr>
            <w:r>
              <w:rPr>
                <w:color w:val="000000"/>
              </w:rPr>
              <w:t>Tidak terimplementasinya SPO bersama (sumberdaya terbatas, budaya, dll)</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restart"/>
            <w:shd w:val="clear" w:color="auto" w:fill="auto"/>
          </w:tcPr>
          <w:p>
            <w:pPr>
              <w:spacing w:after="0" w:line="240" w:lineRule="auto"/>
              <w:rPr>
                <w:b/>
                <w:bCs/>
                <w:color w:val="000000"/>
              </w:rPr>
            </w:pPr>
            <w:r>
              <w:rPr>
                <w:b/>
                <w:bCs/>
                <w:color w:val="000000"/>
              </w:rPr>
              <w:t>Terwujudnya sarana prasarana yang andal</w:t>
            </w:r>
          </w:p>
          <w:p>
            <w:pPr>
              <w:spacing w:after="0" w:line="240" w:lineRule="auto"/>
              <w:rPr>
                <w:b/>
                <w:bCs/>
                <w:color w:val="000000"/>
              </w:rPr>
            </w:pPr>
            <w:r>
              <w:rPr>
                <w:b/>
                <w:bCs/>
                <w:color w:val="000000"/>
              </w:rPr>
              <w:t>  </w:t>
            </w:r>
          </w:p>
          <w:p>
            <w:pPr>
              <w:spacing w:after="0" w:line="240" w:lineRule="auto"/>
              <w:rPr>
                <w:b/>
                <w:bCs/>
                <w:color w:val="000000"/>
              </w:rPr>
            </w:pPr>
            <w:r>
              <w:rPr>
                <w:b/>
                <w:bCs/>
                <w:color w:val="000000"/>
              </w:rPr>
              <w:t> </w:t>
            </w:r>
          </w:p>
        </w:tc>
        <w:tc>
          <w:tcPr>
            <w:tcW w:w="560" w:type="dxa"/>
            <w:shd w:val="clear" w:color="auto" w:fill="auto"/>
          </w:tcPr>
          <w:p>
            <w:pPr>
              <w:spacing w:after="0" w:line="240" w:lineRule="auto"/>
              <w:jc w:val="center"/>
              <w:rPr>
                <w:color w:val="000000"/>
              </w:rPr>
            </w:pPr>
            <w:r>
              <w:rPr>
                <w:color w:val="000000"/>
              </w:rPr>
              <w:t>15</w:t>
            </w:r>
          </w:p>
        </w:tc>
        <w:tc>
          <w:tcPr>
            <w:tcW w:w="7828" w:type="dxa"/>
            <w:shd w:val="clear" w:color="auto" w:fill="auto"/>
          </w:tcPr>
          <w:p>
            <w:pPr>
              <w:spacing w:after="0" w:line="240" w:lineRule="auto"/>
              <w:rPr>
                <w:color w:val="000000"/>
              </w:rPr>
            </w:pPr>
            <w:r>
              <w:rPr>
                <w:color w:val="000000"/>
              </w:rPr>
              <w:t>Perubahan kebijakan regulasi KSO</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16</w:t>
            </w:r>
          </w:p>
        </w:tc>
        <w:tc>
          <w:tcPr>
            <w:tcW w:w="7828" w:type="dxa"/>
            <w:shd w:val="clear" w:color="auto" w:fill="auto"/>
          </w:tcPr>
          <w:p>
            <w:pPr>
              <w:spacing w:after="0" w:line="240" w:lineRule="auto"/>
              <w:rPr>
                <w:color w:val="000000"/>
              </w:rPr>
            </w:pPr>
            <w:r>
              <w:rPr>
                <w:color w:val="000000"/>
              </w:rPr>
              <w:t>Kurangnya ketertarikan dari vendor (return yang lama)</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17</w:t>
            </w:r>
          </w:p>
        </w:tc>
        <w:tc>
          <w:tcPr>
            <w:tcW w:w="7828" w:type="dxa"/>
            <w:shd w:val="clear" w:color="auto" w:fill="auto"/>
          </w:tcPr>
          <w:p>
            <w:pPr>
              <w:spacing w:after="0" w:line="240" w:lineRule="auto"/>
              <w:rPr>
                <w:color w:val="000000"/>
              </w:rPr>
            </w:pPr>
            <w:r>
              <w:rPr>
                <w:color w:val="000000"/>
              </w:rPr>
              <w:t>Terbatasnya alokasi dana pusat</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269" w:hRule="atLeast"/>
        </w:trPr>
        <w:tc>
          <w:tcPr>
            <w:tcW w:w="4106" w:type="dxa"/>
            <w:vMerge w:val="continue"/>
            <w:shd w:val="clear" w:color="auto" w:fill="auto"/>
          </w:tcPr>
          <w:p>
            <w:pPr>
              <w:spacing w:after="0" w:line="240" w:lineRule="auto"/>
              <w:rPr>
                <w:b/>
                <w:bCs/>
                <w:color w:val="000000"/>
              </w:rPr>
            </w:pPr>
          </w:p>
        </w:tc>
        <w:tc>
          <w:tcPr>
            <w:tcW w:w="560" w:type="dxa"/>
            <w:shd w:val="clear" w:color="auto" w:fill="auto"/>
          </w:tcPr>
          <w:p>
            <w:pPr>
              <w:spacing w:after="0" w:line="240" w:lineRule="auto"/>
              <w:jc w:val="center"/>
              <w:rPr>
                <w:color w:val="000000"/>
              </w:rPr>
            </w:pPr>
            <w:r>
              <w:rPr>
                <w:color w:val="000000"/>
              </w:rPr>
              <w:t>18</w:t>
            </w:r>
          </w:p>
        </w:tc>
        <w:tc>
          <w:tcPr>
            <w:tcW w:w="7828" w:type="dxa"/>
            <w:shd w:val="clear" w:color="auto" w:fill="auto"/>
          </w:tcPr>
          <w:p>
            <w:pPr>
              <w:spacing w:after="0" w:line="240" w:lineRule="auto"/>
              <w:rPr>
                <w:color w:val="000000"/>
              </w:rPr>
            </w:pPr>
            <w:r>
              <w:rPr>
                <w:color w:val="000000"/>
              </w:rPr>
              <w:t>Kemajuan teknologi membuat alat cepat obsolete</w:t>
            </w:r>
          </w:p>
        </w:tc>
        <w:tc>
          <w:tcPr>
            <w:tcW w:w="1240" w:type="dxa"/>
            <w:shd w:val="clear" w:color="auto" w:fill="auto"/>
          </w:tcPr>
          <w:p>
            <w:pPr>
              <w:spacing w:after="0" w:line="240" w:lineRule="auto"/>
              <w:jc w:val="center"/>
              <w:rPr>
                <w:color w:val="000000"/>
              </w:rPr>
            </w:pPr>
            <w:r>
              <w:rPr>
                <w:color w:val="000000"/>
              </w:rPr>
              <w:t>T</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109" w:hRule="atLeast"/>
        </w:trPr>
        <w:tc>
          <w:tcPr>
            <w:tcW w:w="4106" w:type="dxa"/>
            <w:vMerge w:val="continue"/>
            <w:shd w:val="clear" w:color="auto" w:fill="auto"/>
          </w:tcPr>
          <w:p>
            <w:pPr>
              <w:spacing w:after="0" w:line="240" w:lineRule="auto"/>
              <w:rPr>
                <w:b/>
                <w:bCs/>
                <w:color w:val="FF0000"/>
              </w:rPr>
            </w:pPr>
          </w:p>
        </w:tc>
        <w:tc>
          <w:tcPr>
            <w:tcW w:w="560" w:type="dxa"/>
            <w:shd w:val="clear" w:color="auto" w:fill="auto"/>
          </w:tcPr>
          <w:p>
            <w:pPr>
              <w:spacing w:after="0" w:line="240" w:lineRule="auto"/>
              <w:jc w:val="center"/>
            </w:pPr>
            <w:r>
              <w:t>19</w:t>
            </w:r>
          </w:p>
        </w:tc>
        <w:tc>
          <w:tcPr>
            <w:tcW w:w="7828" w:type="dxa"/>
            <w:shd w:val="clear" w:color="auto" w:fill="auto"/>
          </w:tcPr>
          <w:p>
            <w:pPr>
              <w:spacing w:after="0" w:line="240" w:lineRule="auto"/>
            </w:pPr>
            <w:r>
              <w:t>Kurangnya disiplin melaksanakan DPJP</w:t>
            </w:r>
          </w:p>
        </w:tc>
        <w:tc>
          <w:tcPr>
            <w:tcW w:w="1240" w:type="dxa"/>
            <w:shd w:val="clear" w:color="auto" w:fill="auto"/>
          </w:tcPr>
          <w:p>
            <w:pPr>
              <w:spacing w:after="0" w:line="240" w:lineRule="auto"/>
              <w:jc w:val="center"/>
              <w:rPr>
                <w:color w:val="FF0000"/>
              </w:rPr>
            </w:pPr>
            <w:r>
              <w:rPr>
                <w:color w:val="FF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79" w:hRule="atLeast"/>
        </w:trPr>
        <w:tc>
          <w:tcPr>
            <w:tcW w:w="4106" w:type="dxa"/>
            <w:shd w:val="clear" w:color="auto" w:fill="auto"/>
          </w:tcPr>
          <w:p>
            <w:pPr>
              <w:spacing w:after="0" w:line="240" w:lineRule="auto"/>
              <w:rPr>
                <w:b/>
                <w:bCs/>
                <w:color w:val="000000"/>
              </w:rPr>
            </w:pPr>
            <w:r>
              <w:rPr>
                <w:b/>
                <w:bCs/>
                <w:color w:val="000000"/>
              </w:rPr>
              <w:t>Terwujudnya kemandirian finansial</w:t>
            </w:r>
          </w:p>
        </w:tc>
        <w:tc>
          <w:tcPr>
            <w:tcW w:w="560" w:type="dxa"/>
            <w:shd w:val="clear" w:color="auto" w:fill="auto"/>
          </w:tcPr>
          <w:p>
            <w:pPr>
              <w:spacing w:after="0" w:line="240" w:lineRule="auto"/>
              <w:jc w:val="center"/>
              <w:rPr>
                <w:color w:val="000000"/>
              </w:rPr>
            </w:pPr>
            <w:r>
              <w:rPr>
                <w:color w:val="000000"/>
              </w:rPr>
              <w:t>20</w:t>
            </w:r>
          </w:p>
        </w:tc>
        <w:tc>
          <w:tcPr>
            <w:tcW w:w="7828" w:type="dxa"/>
            <w:shd w:val="clear" w:color="auto" w:fill="auto"/>
          </w:tcPr>
          <w:p>
            <w:pPr>
              <w:spacing w:after="0" w:line="240" w:lineRule="auto"/>
              <w:rPr>
                <w:color w:val="000000"/>
              </w:rPr>
            </w:pPr>
            <w:r>
              <w:rPr>
                <w:color w:val="000000"/>
              </w:rPr>
              <w:t xml:space="preserve">Regulasi yang belum mendukung kemandirian finansial </w:t>
            </w:r>
          </w:p>
        </w:tc>
        <w:tc>
          <w:tcPr>
            <w:tcW w:w="1240" w:type="dxa"/>
            <w:shd w:val="clear" w:color="auto" w:fill="auto"/>
          </w:tcPr>
          <w:p>
            <w:pPr>
              <w:spacing w:after="0" w:line="240" w:lineRule="auto"/>
              <w:jc w:val="center"/>
              <w:rPr>
                <w:color w:val="000000"/>
              </w:rPr>
            </w:pPr>
            <w:r>
              <w:rPr>
                <w:color w:val="000000"/>
              </w:rPr>
              <w:t>E</w:t>
            </w:r>
          </w:p>
        </w:tc>
      </w:tr>
      <w:tr>
        <w:tblPrEx>
          <w:tblBorders>
            <w:top w:val="single" w:color="EBCC6E" w:sz="4" w:space="0"/>
            <w:left w:val="single" w:color="EBCC6E" w:sz="4" w:space="0"/>
            <w:bottom w:val="single" w:color="EBCC6E" w:sz="4" w:space="0"/>
            <w:right w:val="single" w:color="EBCC6E" w:sz="4" w:space="0"/>
            <w:insideH w:val="single" w:color="EBCC6E" w:sz="4" w:space="0"/>
            <w:insideV w:val="single" w:color="EBCC6E" w:sz="4" w:space="0"/>
          </w:tblBorders>
          <w:tblLayout w:type="fixed"/>
          <w:tblCellMar>
            <w:top w:w="0" w:type="dxa"/>
            <w:left w:w="108" w:type="dxa"/>
            <w:bottom w:w="0" w:type="dxa"/>
            <w:right w:w="108" w:type="dxa"/>
          </w:tblCellMar>
        </w:tblPrEx>
        <w:trPr>
          <w:trHeight w:val="589" w:hRule="atLeast"/>
        </w:trPr>
        <w:tc>
          <w:tcPr>
            <w:tcW w:w="4106" w:type="dxa"/>
            <w:shd w:val="clear" w:color="auto" w:fill="auto"/>
          </w:tcPr>
          <w:p>
            <w:pPr>
              <w:spacing w:after="0" w:line="240" w:lineRule="auto"/>
              <w:rPr>
                <w:b/>
                <w:bCs/>
                <w:color w:val="000000"/>
              </w:rPr>
            </w:pPr>
            <w:r>
              <w:rPr>
                <w:b/>
                <w:bCs/>
                <w:color w:val="000000"/>
              </w:rPr>
              <w:t>Terwujudnya keuangan yang akuntabel, transparan dan cost-effective</w:t>
            </w:r>
          </w:p>
        </w:tc>
        <w:tc>
          <w:tcPr>
            <w:tcW w:w="560" w:type="dxa"/>
            <w:shd w:val="clear" w:color="auto" w:fill="auto"/>
          </w:tcPr>
          <w:p>
            <w:pPr>
              <w:spacing w:after="0" w:line="240" w:lineRule="auto"/>
              <w:jc w:val="center"/>
              <w:rPr>
                <w:color w:val="000000"/>
              </w:rPr>
            </w:pPr>
            <w:r>
              <w:rPr>
                <w:color w:val="000000"/>
              </w:rPr>
              <w:t>21</w:t>
            </w:r>
          </w:p>
        </w:tc>
        <w:tc>
          <w:tcPr>
            <w:tcW w:w="7828" w:type="dxa"/>
            <w:shd w:val="clear" w:color="auto" w:fill="auto"/>
          </w:tcPr>
          <w:p>
            <w:pPr>
              <w:spacing w:after="0" w:line="240" w:lineRule="auto"/>
              <w:rPr>
                <w:color w:val="000000"/>
              </w:rPr>
            </w:pPr>
            <w:r>
              <w:rPr>
                <w:color w:val="000000"/>
              </w:rPr>
              <w:t>Kurangnya kompetensi perencanaan dan disiplin anggaran unit kerja</w:t>
            </w:r>
          </w:p>
        </w:tc>
        <w:tc>
          <w:tcPr>
            <w:tcW w:w="1240" w:type="dxa"/>
            <w:shd w:val="clear" w:color="auto" w:fill="auto"/>
          </w:tcPr>
          <w:p>
            <w:pPr>
              <w:spacing w:after="0" w:line="240" w:lineRule="auto"/>
              <w:jc w:val="center"/>
              <w:rPr>
                <w:color w:val="000000"/>
              </w:rPr>
            </w:pPr>
            <w:r>
              <w:rPr>
                <w:color w:val="000000"/>
              </w:rPr>
              <w:t>T</w:t>
            </w:r>
          </w:p>
        </w:tc>
      </w:tr>
    </w:tbl>
    <w:p>
      <w:pPr>
        <w:pStyle w:val="3"/>
      </w:pPr>
      <w:bookmarkStart w:id="70" w:name="_Toc431267242"/>
      <w:bookmarkStart w:id="71" w:name="_Toc398467452"/>
    </w:p>
    <w:p>
      <w:pPr>
        <w:pStyle w:val="3"/>
      </w:pPr>
      <w:r>
        <w:rPr>
          <w:lang w:val="id-ID"/>
        </w:rPr>
        <w:t>6</w:t>
      </w:r>
      <w:r>
        <w:t>.2 Rencana Mitigasi Risiko</w:t>
      </w:r>
      <w:bookmarkEnd w:id="70"/>
      <w:bookmarkEnd w:id="71"/>
    </w:p>
    <w:p>
      <w:pPr>
        <w:spacing w:line="360" w:lineRule="auto"/>
        <w:ind w:firstLine="709"/>
        <w:jc w:val="both"/>
        <w:rPr>
          <w:lang w:val="sv-SE"/>
        </w:rPr>
      </w:pPr>
      <w:r>
        <w:rPr>
          <w:lang w:val="sv-SE"/>
        </w:rPr>
        <w:t xml:space="preserve">Berdasarkan hasil pada tahap sebelumnya, rencana mitigasi risiko didefinisikan. Rencana mitigasi risiko menggambarkan upaya nyata yang dibutuhkan oleh </w:t>
      </w:r>
      <w:r>
        <w:t>RSHS</w:t>
      </w:r>
      <w:r>
        <w:rPr>
          <w:lang w:val="sv-SE"/>
        </w:rPr>
        <w:t xml:space="preserve"> untuk menangani kemungkinan dan dampak risiko tertentu pada sasaran strategis di peta strategi. Rencana mitigasi yang disusun diutamakan untuk menangani berbagai jenis risiko yang dinilai </w:t>
      </w:r>
      <w:r>
        <w:rPr>
          <w:b/>
          <w:lang w:val="sv-SE"/>
        </w:rPr>
        <w:t>EKSTRIM</w:t>
      </w:r>
      <w:r>
        <w:rPr>
          <w:lang w:val="sv-SE"/>
        </w:rPr>
        <w:t xml:space="preserve"> dan</w:t>
      </w:r>
      <w:r>
        <w:rPr>
          <w:b/>
          <w:lang w:val="sv-SE"/>
        </w:rPr>
        <w:t xml:space="preserve"> TINGGI</w:t>
      </w:r>
      <w:r>
        <w:rPr>
          <w:lang w:val="sv-SE"/>
        </w:rPr>
        <w:t xml:space="preserve"> bagi </w:t>
      </w:r>
      <w:r>
        <w:t>RSHS</w:t>
      </w:r>
      <w:r>
        <w:rPr>
          <w:color w:val="FF0000"/>
        </w:rPr>
        <w:t>.</w:t>
      </w:r>
    </w:p>
    <w:p>
      <w:pPr>
        <w:spacing w:after="0" w:line="360" w:lineRule="auto"/>
        <w:ind w:firstLine="709"/>
        <w:jc w:val="both"/>
        <w:rPr>
          <w:lang w:val="sv-SE"/>
        </w:rPr>
      </w:pPr>
      <w:r>
        <w:rPr>
          <w:lang w:val="sv-SE"/>
        </w:rPr>
        <w:t xml:space="preserve">Tabel 6.3 berikut menyajikan sasaran strategis, risiko, level risiko, dan rencana mitigasinya, khususnya untuk menangani level risiko yang berstatus </w:t>
      </w:r>
      <w:r>
        <w:rPr>
          <w:b/>
          <w:lang w:val="sv-SE"/>
        </w:rPr>
        <w:t>EKSTRIM</w:t>
      </w:r>
      <w:r>
        <w:rPr>
          <w:lang w:val="sv-SE"/>
        </w:rPr>
        <w:t xml:space="preserve"> atau </w:t>
      </w:r>
      <w:r>
        <w:rPr>
          <w:b/>
          <w:lang w:val="sv-SE"/>
        </w:rPr>
        <w:t>TINGGI</w:t>
      </w:r>
      <w:r>
        <w:rPr>
          <w:lang w:val="sv-SE"/>
        </w:rPr>
        <w:t xml:space="preserve">. </w:t>
      </w:r>
    </w:p>
    <w:p>
      <w:pPr>
        <w:pStyle w:val="9"/>
        <w:sectPr>
          <w:footerReference r:id="rId11" w:type="even"/>
          <w:pgSz w:w="16839" w:h="11907" w:orient="landscape"/>
          <w:pgMar w:top="1440" w:right="1440" w:bottom="1440" w:left="1440" w:header="720" w:footer="965" w:gutter="0"/>
          <w:pgNumType w:start="86"/>
          <w:cols w:space="720" w:num="1"/>
          <w:docGrid w:linePitch="326" w:charSpace="0"/>
        </w:sectPr>
      </w:pPr>
      <w:bookmarkStart w:id="72" w:name="_Toc398397502"/>
    </w:p>
    <w:p>
      <w:pPr>
        <w:pStyle w:val="9"/>
        <w:rPr>
          <w:szCs w:val="24"/>
        </w:rPr>
      </w:pPr>
      <w:bookmarkStart w:id="73" w:name="_Toc430523113"/>
      <w:r>
        <w:rPr>
          <w:lang w:val="id-ID"/>
        </w:rPr>
        <w:t>T</w:t>
      </w:r>
      <w:r>
        <w:t xml:space="preserve">abel 6.  </w:t>
      </w:r>
      <w:r>
        <w:fldChar w:fldCharType="begin"/>
      </w:r>
      <w:r>
        <w:instrText xml:space="preserve"> SEQ Tabel_6._ \* ARABIC </w:instrText>
      </w:r>
      <w:r>
        <w:fldChar w:fldCharType="separate"/>
      </w:r>
      <w:r>
        <w:t>3</w:t>
      </w:r>
      <w:r>
        <w:fldChar w:fldCharType="end"/>
      </w:r>
      <w:r>
        <w:rPr>
          <w:lang w:val="id-ID"/>
        </w:rPr>
        <w:t xml:space="preserve">. </w:t>
      </w:r>
      <w:r>
        <w:rPr>
          <w:szCs w:val="24"/>
        </w:rPr>
        <w:t>Rencana Mitigasi Risiko</w:t>
      </w:r>
      <w:bookmarkEnd w:id="72"/>
      <w:bookmarkEnd w:id="73"/>
    </w:p>
    <w:tbl>
      <w:tblPr>
        <w:tblStyle w:val="26"/>
        <w:tblW w:w="14142" w:type="dxa"/>
        <w:tblInd w:w="0"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2997"/>
        <w:gridCol w:w="475"/>
        <w:gridCol w:w="4574"/>
        <w:gridCol w:w="1276"/>
        <w:gridCol w:w="4820"/>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276" w:hRule="atLeast"/>
          <w:tblHeader/>
        </w:trPr>
        <w:tc>
          <w:tcPr>
            <w:tcW w:w="2997" w:type="dxa"/>
            <w:shd w:val="clear" w:color="auto" w:fill="EBCC6E"/>
          </w:tcPr>
          <w:p>
            <w:pPr>
              <w:spacing w:after="0" w:line="240" w:lineRule="auto"/>
              <w:jc w:val="center"/>
              <w:rPr>
                <w:b/>
                <w:bCs/>
                <w:color w:val="000000"/>
                <w:sz w:val="21"/>
                <w:szCs w:val="21"/>
              </w:rPr>
            </w:pPr>
            <w:r>
              <w:rPr>
                <w:b/>
                <w:bCs/>
                <w:color w:val="000000"/>
                <w:sz w:val="21"/>
                <w:szCs w:val="21"/>
              </w:rPr>
              <w:t>Sasaran Strategis</w:t>
            </w:r>
          </w:p>
        </w:tc>
        <w:tc>
          <w:tcPr>
            <w:tcW w:w="475" w:type="dxa"/>
            <w:shd w:val="clear" w:color="auto" w:fill="EBCC6E"/>
          </w:tcPr>
          <w:p>
            <w:pPr>
              <w:spacing w:after="0" w:line="240" w:lineRule="auto"/>
              <w:jc w:val="center"/>
              <w:rPr>
                <w:b/>
                <w:bCs/>
                <w:color w:val="000000"/>
                <w:sz w:val="21"/>
                <w:szCs w:val="21"/>
              </w:rPr>
            </w:pPr>
            <w:r>
              <w:rPr>
                <w:b/>
                <w:bCs/>
                <w:color w:val="000000"/>
                <w:sz w:val="21"/>
                <w:szCs w:val="21"/>
              </w:rPr>
              <w:t>No</w:t>
            </w:r>
          </w:p>
        </w:tc>
        <w:tc>
          <w:tcPr>
            <w:tcW w:w="4574" w:type="dxa"/>
            <w:shd w:val="clear" w:color="auto" w:fill="EBCC6E"/>
          </w:tcPr>
          <w:p>
            <w:pPr>
              <w:spacing w:after="0" w:line="240" w:lineRule="auto"/>
              <w:jc w:val="center"/>
              <w:rPr>
                <w:b/>
                <w:bCs/>
                <w:color w:val="000000"/>
                <w:sz w:val="21"/>
                <w:szCs w:val="21"/>
              </w:rPr>
            </w:pPr>
            <w:r>
              <w:rPr>
                <w:b/>
                <w:bCs/>
                <w:color w:val="000000"/>
                <w:sz w:val="21"/>
                <w:szCs w:val="21"/>
              </w:rPr>
              <w:t>Risiko</w:t>
            </w:r>
          </w:p>
        </w:tc>
        <w:tc>
          <w:tcPr>
            <w:tcW w:w="1276" w:type="dxa"/>
            <w:shd w:val="clear" w:color="auto" w:fill="EBCC6E"/>
          </w:tcPr>
          <w:p>
            <w:pPr>
              <w:spacing w:after="0" w:line="240" w:lineRule="auto"/>
              <w:jc w:val="center"/>
              <w:rPr>
                <w:b/>
                <w:bCs/>
                <w:color w:val="000000"/>
                <w:sz w:val="21"/>
                <w:szCs w:val="21"/>
              </w:rPr>
            </w:pPr>
            <w:r>
              <w:rPr>
                <w:b/>
                <w:bCs/>
                <w:color w:val="000000"/>
                <w:sz w:val="21"/>
                <w:szCs w:val="21"/>
              </w:rPr>
              <w:t>Level Risiko</w:t>
            </w:r>
          </w:p>
        </w:tc>
        <w:tc>
          <w:tcPr>
            <w:tcW w:w="4820" w:type="dxa"/>
            <w:shd w:val="clear" w:color="auto" w:fill="EBCC6E"/>
          </w:tcPr>
          <w:p>
            <w:pPr>
              <w:spacing w:after="0" w:line="240" w:lineRule="auto"/>
              <w:jc w:val="center"/>
              <w:rPr>
                <w:b/>
                <w:bCs/>
                <w:color w:val="000000"/>
                <w:sz w:val="21"/>
                <w:szCs w:val="21"/>
              </w:rPr>
            </w:pPr>
            <w:r>
              <w:rPr>
                <w:b/>
                <w:bCs/>
                <w:color w:val="000000"/>
                <w:sz w:val="21"/>
                <w:szCs w:val="21"/>
              </w:rPr>
              <w:t>Program Mitigasi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7" w:type="dxa"/>
            <w:vMerge w:val="restart"/>
            <w:shd w:val="clear" w:color="auto" w:fill="auto"/>
          </w:tcPr>
          <w:p>
            <w:pPr>
              <w:spacing w:after="0" w:line="240" w:lineRule="auto"/>
              <w:rPr>
                <w:b/>
                <w:bCs/>
                <w:color w:val="000000"/>
                <w:sz w:val="21"/>
                <w:szCs w:val="21"/>
              </w:rPr>
            </w:pPr>
            <w:r>
              <w:rPr>
                <w:b/>
                <w:bCs/>
                <w:color w:val="000000"/>
                <w:sz w:val="21"/>
                <w:szCs w:val="21"/>
              </w:rPr>
              <w:t>Terwujudnya RSHS sebagai pilihan utama masyarakat</w:t>
            </w:r>
          </w:p>
          <w:p>
            <w:pPr>
              <w:spacing w:after="0" w:line="240" w:lineRule="auto"/>
              <w:rPr>
                <w:b/>
                <w:bCs/>
                <w:color w:val="000000"/>
                <w:sz w:val="21"/>
                <w:szCs w:val="21"/>
              </w:rPr>
            </w:pPr>
            <w:r>
              <w:rPr>
                <w:b/>
                <w:bCs/>
                <w:color w:val="000000"/>
                <w:sz w:val="21"/>
                <w:szCs w:val="21"/>
              </w:rPr>
              <w:t> </w:t>
            </w:r>
          </w:p>
        </w:tc>
        <w:tc>
          <w:tcPr>
            <w:tcW w:w="475" w:type="dxa"/>
            <w:shd w:val="clear" w:color="auto" w:fill="auto"/>
          </w:tcPr>
          <w:p>
            <w:pPr>
              <w:spacing w:after="0" w:line="240" w:lineRule="auto"/>
              <w:jc w:val="center"/>
              <w:rPr>
                <w:color w:val="000000"/>
                <w:sz w:val="21"/>
                <w:szCs w:val="21"/>
              </w:rPr>
            </w:pPr>
            <w:r>
              <w:rPr>
                <w:color w:val="000000"/>
                <w:sz w:val="21"/>
                <w:szCs w:val="21"/>
              </w:rPr>
              <w:t>1</w:t>
            </w:r>
          </w:p>
        </w:tc>
        <w:tc>
          <w:tcPr>
            <w:tcW w:w="4574" w:type="dxa"/>
            <w:shd w:val="clear" w:color="auto" w:fill="auto"/>
          </w:tcPr>
          <w:p>
            <w:pPr>
              <w:spacing w:after="0" w:line="240" w:lineRule="auto"/>
              <w:rPr>
                <w:color w:val="000000"/>
                <w:sz w:val="21"/>
                <w:szCs w:val="21"/>
              </w:rPr>
            </w:pPr>
            <w:r>
              <w:rPr>
                <w:color w:val="000000"/>
                <w:sz w:val="21"/>
                <w:szCs w:val="21"/>
              </w:rPr>
              <w:t>Citra kurang baik sebagai RS Pendidikan yang melekat di masyarakat</w:t>
            </w:r>
          </w:p>
        </w:tc>
        <w:tc>
          <w:tcPr>
            <w:tcW w:w="1276" w:type="dxa"/>
            <w:shd w:val="clear" w:color="auto" w:fill="auto"/>
          </w:tcPr>
          <w:p>
            <w:pPr>
              <w:spacing w:after="0" w:line="240" w:lineRule="auto"/>
              <w:jc w:val="center"/>
              <w:rPr>
                <w:color w:val="000000"/>
                <w:sz w:val="21"/>
                <w:szCs w:val="21"/>
              </w:rPr>
            </w:pPr>
            <w:r>
              <w:rPr>
                <w:color w:val="000000"/>
                <w:sz w:val="21"/>
                <w:szCs w:val="21"/>
              </w:rPr>
              <w:t>E</w:t>
            </w:r>
          </w:p>
        </w:tc>
        <w:tc>
          <w:tcPr>
            <w:tcW w:w="4820" w:type="dxa"/>
            <w:shd w:val="clear" w:color="auto" w:fill="auto"/>
          </w:tcPr>
          <w:p>
            <w:pPr>
              <w:spacing w:after="0" w:line="240" w:lineRule="auto"/>
              <w:rPr>
                <w:color w:val="000000"/>
                <w:sz w:val="21"/>
                <w:szCs w:val="21"/>
              </w:rPr>
            </w:pPr>
            <w:r>
              <w:rPr>
                <w:color w:val="000000"/>
                <w:sz w:val="21"/>
                <w:szCs w:val="21"/>
              </w:rPr>
              <w:t>Penyempurnaan Sistem Promosi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7" w:type="dxa"/>
            <w:vMerge w:val="continue"/>
            <w:shd w:val="clear" w:color="auto" w:fill="auto"/>
          </w:tcPr>
          <w:p>
            <w:pPr>
              <w:spacing w:after="0" w:line="240" w:lineRule="auto"/>
              <w:rPr>
                <w:b/>
                <w:bCs/>
                <w:color w:val="000000"/>
                <w:sz w:val="21"/>
                <w:szCs w:val="21"/>
              </w:rPr>
            </w:pPr>
          </w:p>
        </w:tc>
        <w:tc>
          <w:tcPr>
            <w:tcW w:w="475" w:type="dxa"/>
            <w:shd w:val="clear" w:color="auto" w:fill="auto"/>
          </w:tcPr>
          <w:p>
            <w:pPr>
              <w:spacing w:after="0" w:line="240" w:lineRule="auto"/>
              <w:jc w:val="center"/>
              <w:rPr>
                <w:color w:val="000000"/>
                <w:sz w:val="21"/>
                <w:szCs w:val="21"/>
              </w:rPr>
            </w:pPr>
            <w:r>
              <w:rPr>
                <w:color w:val="000000"/>
                <w:sz w:val="21"/>
                <w:szCs w:val="21"/>
              </w:rPr>
              <w:t>2</w:t>
            </w:r>
          </w:p>
        </w:tc>
        <w:tc>
          <w:tcPr>
            <w:tcW w:w="4574" w:type="dxa"/>
            <w:shd w:val="clear" w:color="auto" w:fill="auto"/>
          </w:tcPr>
          <w:p>
            <w:pPr>
              <w:spacing w:after="0" w:line="240" w:lineRule="auto"/>
              <w:rPr>
                <w:color w:val="000000"/>
                <w:sz w:val="21"/>
                <w:szCs w:val="21"/>
              </w:rPr>
            </w:pPr>
            <w:r>
              <w:rPr>
                <w:color w:val="000000"/>
                <w:sz w:val="21"/>
                <w:szCs w:val="21"/>
              </w:rPr>
              <w:t>Regulasi yang belum mendukung inovasi medis</w:t>
            </w:r>
          </w:p>
        </w:tc>
        <w:tc>
          <w:tcPr>
            <w:tcW w:w="1276" w:type="dxa"/>
            <w:shd w:val="clear" w:color="auto" w:fill="auto"/>
          </w:tcPr>
          <w:p>
            <w:pPr>
              <w:spacing w:after="0" w:line="240" w:lineRule="auto"/>
              <w:jc w:val="center"/>
              <w:rPr>
                <w:color w:val="000000"/>
                <w:sz w:val="21"/>
                <w:szCs w:val="21"/>
              </w:rPr>
            </w:pPr>
            <w:r>
              <w:rPr>
                <w:color w:val="000000"/>
                <w:sz w:val="21"/>
                <w:szCs w:val="21"/>
              </w:rPr>
              <w:t>T</w:t>
            </w:r>
          </w:p>
        </w:tc>
        <w:tc>
          <w:tcPr>
            <w:tcW w:w="4820" w:type="dxa"/>
            <w:shd w:val="clear" w:color="auto" w:fill="auto"/>
          </w:tcPr>
          <w:p>
            <w:pPr>
              <w:spacing w:after="0" w:line="240" w:lineRule="auto"/>
              <w:rPr>
                <w:color w:val="000000"/>
                <w:sz w:val="21"/>
                <w:szCs w:val="21"/>
              </w:rPr>
            </w:pPr>
            <w:r>
              <w:rPr>
                <w:color w:val="000000"/>
                <w:sz w:val="21"/>
                <w:szCs w:val="21"/>
              </w:rPr>
              <w:t>Advokasi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7" w:type="dxa"/>
            <w:vMerge w:val="restart"/>
            <w:shd w:val="clear" w:color="auto" w:fill="auto"/>
          </w:tcPr>
          <w:p>
            <w:pPr>
              <w:spacing w:after="0" w:line="240" w:lineRule="auto"/>
              <w:rPr>
                <w:b/>
                <w:bCs/>
                <w:color w:val="000000"/>
                <w:sz w:val="21"/>
                <w:szCs w:val="21"/>
              </w:rPr>
            </w:pPr>
            <w:r>
              <w:rPr>
                <w:b/>
                <w:bCs/>
                <w:color w:val="000000"/>
                <w:sz w:val="21"/>
                <w:szCs w:val="21"/>
              </w:rPr>
              <w:t>Terwujudnya layanan unggulan</w:t>
            </w:r>
          </w:p>
          <w:p>
            <w:pPr>
              <w:spacing w:after="0" w:line="240" w:lineRule="auto"/>
              <w:rPr>
                <w:b/>
                <w:bCs/>
                <w:color w:val="000000"/>
                <w:sz w:val="21"/>
                <w:szCs w:val="21"/>
              </w:rPr>
            </w:pPr>
            <w:r>
              <w:rPr>
                <w:b/>
                <w:bCs/>
                <w:color w:val="000000"/>
                <w:sz w:val="21"/>
                <w:szCs w:val="21"/>
              </w:rPr>
              <w:t> </w:t>
            </w:r>
          </w:p>
        </w:tc>
        <w:tc>
          <w:tcPr>
            <w:tcW w:w="475" w:type="dxa"/>
            <w:shd w:val="clear" w:color="auto" w:fill="auto"/>
          </w:tcPr>
          <w:p>
            <w:pPr>
              <w:spacing w:after="0" w:line="240" w:lineRule="auto"/>
              <w:jc w:val="center"/>
              <w:rPr>
                <w:color w:val="000000"/>
                <w:sz w:val="21"/>
                <w:szCs w:val="21"/>
                <w:lang w:val="en-US"/>
              </w:rPr>
            </w:pPr>
            <w:r>
              <w:rPr>
                <w:color w:val="000000"/>
                <w:sz w:val="21"/>
                <w:szCs w:val="21"/>
                <w:lang w:val="en-US"/>
              </w:rPr>
              <w:t>3</w:t>
            </w:r>
          </w:p>
        </w:tc>
        <w:tc>
          <w:tcPr>
            <w:tcW w:w="4574" w:type="dxa"/>
            <w:shd w:val="clear" w:color="auto" w:fill="auto"/>
          </w:tcPr>
          <w:p>
            <w:pPr>
              <w:spacing w:after="0" w:line="240" w:lineRule="auto"/>
              <w:rPr>
                <w:color w:val="000000"/>
                <w:sz w:val="21"/>
                <w:szCs w:val="21"/>
              </w:rPr>
            </w:pPr>
            <w:r>
              <w:rPr>
                <w:color w:val="000000"/>
                <w:sz w:val="21"/>
                <w:szCs w:val="21"/>
              </w:rPr>
              <w:t>Sistem rujukan yang tidak berjalan</w:t>
            </w:r>
          </w:p>
        </w:tc>
        <w:tc>
          <w:tcPr>
            <w:tcW w:w="1276" w:type="dxa"/>
            <w:shd w:val="clear" w:color="auto" w:fill="auto"/>
          </w:tcPr>
          <w:p>
            <w:pPr>
              <w:spacing w:after="0" w:line="240" w:lineRule="auto"/>
              <w:jc w:val="center"/>
              <w:rPr>
                <w:color w:val="000000"/>
                <w:sz w:val="21"/>
                <w:szCs w:val="21"/>
              </w:rPr>
            </w:pPr>
            <w:r>
              <w:rPr>
                <w:color w:val="000000"/>
                <w:sz w:val="21"/>
                <w:szCs w:val="21"/>
              </w:rPr>
              <w:t>E</w:t>
            </w:r>
          </w:p>
        </w:tc>
        <w:tc>
          <w:tcPr>
            <w:tcW w:w="4820" w:type="dxa"/>
            <w:shd w:val="clear" w:color="auto" w:fill="auto"/>
          </w:tcPr>
          <w:p>
            <w:pPr>
              <w:spacing w:after="0" w:line="240" w:lineRule="auto"/>
              <w:rPr>
                <w:color w:val="000000"/>
                <w:sz w:val="21"/>
                <w:szCs w:val="21"/>
              </w:rPr>
            </w:pPr>
            <w:r>
              <w:rPr>
                <w:color w:val="000000"/>
                <w:sz w:val="21"/>
                <w:szCs w:val="21"/>
              </w:rPr>
              <w:t>Advokasi ke Dinas untuk kebijakan penguatan sistem rujukan (reward &amp; consequences)</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7" w:type="dxa"/>
            <w:vMerge w:val="continue"/>
            <w:shd w:val="clear" w:color="auto" w:fill="auto"/>
          </w:tcPr>
          <w:p>
            <w:pPr>
              <w:spacing w:after="0" w:line="240" w:lineRule="auto"/>
              <w:rPr>
                <w:b/>
                <w:bCs/>
                <w:color w:val="000000"/>
                <w:sz w:val="21"/>
                <w:szCs w:val="21"/>
              </w:rPr>
            </w:pPr>
          </w:p>
        </w:tc>
        <w:tc>
          <w:tcPr>
            <w:tcW w:w="475" w:type="dxa"/>
            <w:shd w:val="clear" w:color="auto" w:fill="auto"/>
          </w:tcPr>
          <w:p>
            <w:pPr>
              <w:spacing w:after="0" w:line="240" w:lineRule="auto"/>
              <w:jc w:val="center"/>
              <w:rPr>
                <w:color w:val="000000"/>
                <w:sz w:val="21"/>
                <w:szCs w:val="21"/>
                <w:lang w:val="en-US"/>
              </w:rPr>
            </w:pPr>
            <w:r>
              <w:rPr>
                <w:color w:val="000000"/>
                <w:sz w:val="21"/>
                <w:szCs w:val="21"/>
                <w:lang w:val="en-US"/>
              </w:rPr>
              <w:t>4</w:t>
            </w:r>
          </w:p>
        </w:tc>
        <w:tc>
          <w:tcPr>
            <w:tcW w:w="4574" w:type="dxa"/>
            <w:shd w:val="clear" w:color="auto" w:fill="auto"/>
          </w:tcPr>
          <w:p>
            <w:pPr>
              <w:spacing w:after="0" w:line="240" w:lineRule="auto"/>
              <w:rPr>
                <w:color w:val="000000"/>
                <w:sz w:val="21"/>
                <w:szCs w:val="21"/>
              </w:rPr>
            </w:pPr>
            <w:r>
              <w:rPr>
                <w:color w:val="000000"/>
                <w:sz w:val="21"/>
                <w:szCs w:val="21"/>
              </w:rPr>
              <w:t>Tidak termasuk dalam kasus yang ditanggung seluruhnya oleh BPJS atau asuransi lain</w:t>
            </w:r>
          </w:p>
        </w:tc>
        <w:tc>
          <w:tcPr>
            <w:tcW w:w="1276" w:type="dxa"/>
            <w:shd w:val="clear" w:color="auto" w:fill="auto"/>
          </w:tcPr>
          <w:p>
            <w:pPr>
              <w:spacing w:after="0" w:line="240" w:lineRule="auto"/>
              <w:jc w:val="center"/>
              <w:rPr>
                <w:color w:val="000000"/>
                <w:sz w:val="21"/>
                <w:szCs w:val="21"/>
              </w:rPr>
            </w:pPr>
            <w:r>
              <w:rPr>
                <w:color w:val="000000"/>
                <w:sz w:val="21"/>
                <w:szCs w:val="21"/>
              </w:rPr>
              <w:t>E</w:t>
            </w:r>
          </w:p>
        </w:tc>
        <w:tc>
          <w:tcPr>
            <w:tcW w:w="4820" w:type="dxa"/>
            <w:shd w:val="clear" w:color="auto" w:fill="auto"/>
          </w:tcPr>
          <w:p>
            <w:pPr>
              <w:spacing w:after="0" w:line="240" w:lineRule="auto"/>
              <w:rPr>
                <w:color w:val="000000"/>
                <w:sz w:val="21"/>
                <w:szCs w:val="21"/>
              </w:rPr>
            </w:pPr>
            <w:r>
              <w:rPr>
                <w:color w:val="000000"/>
                <w:sz w:val="21"/>
                <w:szCs w:val="21"/>
              </w:rPr>
              <w:t>Advokasi ke pemerintah dan NCC</w:t>
            </w:r>
          </w:p>
        </w:tc>
      </w:tr>
    </w:tbl>
    <w:p>
      <w:pPr>
        <w:pStyle w:val="9"/>
        <w:keepNext/>
        <w:rPr>
          <w:szCs w:val="24"/>
        </w:rPr>
      </w:pPr>
      <w:r>
        <w:t xml:space="preserve">Tabel </w:t>
      </w:r>
      <w:r>
        <w:rPr>
          <w:lang w:val="id-ID"/>
        </w:rPr>
        <w:t>6</w:t>
      </w:r>
      <w:r>
        <w:t>.3.</w:t>
      </w:r>
      <w:r>
        <w:rPr>
          <w:szCs w:val="24"/>
        </w:rPr>
        <w:t>Rencana Mitigasi Risiko (Lanjutan)</w:t>
      </w:r>
    </w:p>
    <w:tbl>
      <w:tblPr>
        <w:tblStyle w:val="26"/>
        <w:tblW w:w="13790" w:type="dxa"/>
        <w:tblInd w:w="392" w:type="dxa"/>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
      <w:tblGrid>
        <w:gridCol w:w="2995"/>
        <w:gridCol w:w="832"/>
        <w:gridCol w:w="4575"/>
        <w:gridCol w:w="852"/>
        <w:gridCol w:w="4536"/>
      </w:tblGrid>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blHeader/>
        </w:trPr>
        <w:tc>
          <w:tcPr>
            <w:tcW w:w="2995" w:type="dxa"/>
            <w:shd w:val="clear" w:color="auto" w:fill="EBCC6E"/>
          </w:tcPr>
          <w:p>
            <w:pPr>
              <w:keepNext/>
              <w:spacing w:after="0" w:line="240" w:lineRule="auto"/>
              <w:jc w:val="center"/>
              <w:rPr>
                <w:b/>
                <w:bCs/>
                <w:color w:val="000000"/>
                <w:sz w:val="21"/>
                <w:szCs w:val="21"/>
              </w:rPr>
            </w:pPr>
            <w:r>
              <w:rPr>
                <w:b/>
                <w:bCs/>
                <w:color w:val="000000"/>
                <w:sz w:val="21"/>
                <w:szCs w:val="21"/>
              </w:rPr>
              <w:t>Sasaran Strategis</w:t>
            </w:r>
          </w:p>
        </w:tc>
        <w:tc>
          <w:tcPr>
            <w:tcW w:w="832" w:type="dxa"/>
            <w:shd w:val="clear" w:color="auto" w:fill="EBCC6E"/>
          </w:tcPr>
          <w:p>
            <w:pPr>
              <w:keepNext/>
              <w:spacing w:after="0" w:line="240" w:lineRule="auto"/>
              <w:jc w:val="center"/>
              <w:rPr>
                <w:b/>
                <w:bCs/>
                <w:color w:val="000000"/>
                <w:sz w:val="21"/>
                <w:szCs w:val="21"/>
              </w:rPr>
            </w:pPr>
            <w:r>
              <w:rPr>
                <w:b/>
                <w:bCs/>
                <w:color w:val="000000"/>
                <w:sz w:val="21"/>
                <w:szCs w:val="21"/>
              </w:rPr>
              <w:t>No</w:t>
            </w:r>
          </w:p>
        </w:tc>
        <w:tc>
          <w:tcPr>
            <w:tcW w:w="4575" w:type="dxa"/>
            <w:shd w:val="clear" w:color="auto" w:fill="EBCC6E"/>
          </w:tcPr>
          <w:p>
            <w:pPr>
              <w:keepNext/>
              <w:spacing w:after="0" w:line="240" w:lineRule="auto"/>
              <w:jc w:val="center"/>
              <w:rPr>
                <w:b/>
                <w:bCs/>
                <w:color w:val="000000"/>
                <w:sz w:val="21"/>
                <w:szCs w:val="21"/>
              </w:rPr>
            </w:pPr>
            <w:r>
              <w:rPr>
                <w:b/>
                <w:bCs/>
                <w:color w:val="000000"/>
                <w:sz w:val="21"/>
                <w:szCs w:val="21"/>
              </w:rPr>
              <w:t>Risiko</w:t>
            </w:r>
          </w:p>
        </w:tc>
        <w:tc>
          <w:tcPr>
            <w:tcW w:w="852" w:type="dxa"/>
            <w:shd w:val="clear" w:color="auto" w:fill="EBCC6E"/>
          </w:tcPr>
          <w:p>
            <w:pPr>
              <w:keepNext/>
              <w:spacing w:after="0" w:line="240" w:lineRule="auto"/>
              <w:jc w:val="center"/>
              <w:rPr>
                <w:b/>
                <w:bCs/>
                <w:color w:val="000000"/>
                <w:sz w:val="21"/>
                <w:szCs w:val="21"/>
              </w:rPr>
            </w:pPr>
            <w:r>
              <w:rPr>
                <w:b/>
                <w:bCs/>
                <w:color w:val="000000"/>
                <w:sz w:val="21"/>
                <w:szCs w:val="21"/>
              </w:rPr>
              <w:t>Level Risiko</w:t>
            </w:r>
          </w:p>
        </w:tc>
        <w:tc>
          <w:tcPr>
            <w:tcW w:w="4536" w:type="dxa"/>
            <w:shd w:val="clear" w:color="auto" w:fill="EBCC6E"/>
          </w:tcPr>
          <w:p>
            <w:pPr>
              <w:keepNext/>
              <w:spacing w:after="0" w:line="240" w:lineRule="auto"/>
              <w:jc w:val="center"/>
              <w:rPr>
                <w:b/>
                <w:bCs/>
                <w:color w:val="000000"/>
                <w:sz w:val="21"/>
                <w:szCs w:val="21"/>
              </w:rPr>
            </w:pPr>
            <w:r>
              <w:rPr>
                <w:b/>
                <w:bCs/>
                <w:color w:val="000000"/>
                <w:sz w:val="21"/>
                <w:szCs w:val="21"/>
              </w:rPr>
              <w:t>Program Mitigasi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1"/>
                <w:szCs w:val="21"/>
              </w:rPr>
            </w:pPr>
            <w:r>
              <w:rPr>
                <w:b/>
                <w:bCs/>
                <w:color w:val="000000"/>
                <w:sz w:val="21"/>
                <w:szCs w:val="21"/>
              </w:rPr>
              <w:t>Terwujudnya penyempurnaan sistem rujukan dalam jejaring kesehatan</w:t>
            </w:r>
          </w:p>
        </w:tc>
        <w:tc>
          <w:tcPr>
            <w:tcW w:w="832" w:type="dxa"/>
            <w:shd w:val="clear" w:color="auto" w:fill="auto"/>
          </w:tcPr>
          <w:p>
            <w:pPr>
              <w:spacing w:after="0" w:line="240" w:lineRule="auto"/>
              <w:jc w:val="center"/>
              <w:rPr>
                <w:color w:val="000000"/>
                <w:sz w:val="21"/>
                <w:szCs w:val="21"/>
                <w:lang w:val="en-US"/>
              </w:rPr>
            </w:pPr>
            <w:r>
              <w:rPr>
                <w:color w:val="000000"/>
                <w:sz w:val="21"/>
                <w:szCs w:val="21"/>
                <w:lang w:val="en-US"/>
              </w:rPr>
              <w:t>5</w:t>
            </w:r>
          </w:p>
        </w:tc>
        <w:tc>
          <w:tcPr>
            <w:tcW w:w="4575" w:type="dxa"/>
            <w:shd w:val="clear" w:color="auto" w:fill="auto"/>
          </w:tcPr>
          <w:p>
            <w:pPr>
              <w:spacing w:after="0" w:line="240" w:lineRule="auto"/>
              <w:rPr>
                <w:color w:val="000000"/>
                <w:sz w:val="21"/>
                <w:szCs w:val="21"/>
              </w:rPr>
            </w:pPr>
            <w:r>
              <w:rPr>
                <w:color w:val="000000"/>
                <w:sz w:val="21"/>
                <w:szCs w:val="21"/>
              </w:rPr>
              <w:t>Keterbatasan kompetensi dan alat di RS asal rujukan</w:t>
            </w:r>
          </w:p>
        </w:tc>
        <w:tc>
          <w:tcPr>
            <w:tcW w:w="852" w:type="dxa"/>
            <w:shd w:val="clear" w:color="auto" w:fill="auto"/>
          </w:tcPr>
          <w:p>
            <w:pPr>
              <w:spacing w:after="0" w:line="240" w:lineRule="auto"/>
              <w:jc w:val="center"/>
              <w:rPr>
                <w:color w:val="000000"/>
                <w:sz w:val="21"/>
                <w:szCs w:val="21"/>
              </w:rPr>
            </w:pPr>
            <w:r>
              <w:rPr>
                <w:color w:val="000000"/>
                <w:sz w:val="21"/>
                <w:szCs w:val="21"/>
              </w:rPr>
              <w:t>E</w:t>
            </w:r>
          </w:p>
        </w:tc>
        <w:tc>
          <w:tcPr>
            <w:tcW w:w="4536" w:type="dxa"/>
            <w:shd w:val="clear" w:color="auto" w:fill="auto"/>
          </w:tcPr>
          <w:p>
            <w:pPr>
              <w:spacing w:after="0" w:line="240" w:lineRule="auto"/>
              <w:rPr>
                <w:color w:val="000000"/>
                <w:sz w:val="21"/>
                <w:szCs w:val="21"/>
              </w:rPr>
            </w:pPr>
            <w:r>
              <w:rPr>
                <w:color w:val="000000"/>
                <w:sz w:val="21"/>
                <w:szCs w:val="21"/>
              </w:rPr>
              <w:t xml:space="preserve">Kebijakan kepada RS Jejaring agar staf spesialis mengambil program sub-spesialis </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shd w:val="clear" w:color="auto" w:fill="auto"/>
          </w:tcPr>
          <w:p>
            <w:pPr>
              <w:spacing w:after="0" w:line="240" w:lineRule="auto"/>
              <w:jc w:val="center"/>
              <w:rPr>
                <w:color w:val="000000"/>
                <w:sz w:val="21"/>
                <w:szCs w:val="21"/>
                <w:lang w:val="en-US"/>
              </w:rPr>
            </w:pPr>
            <w:r>
              <w:rPr>
                <w:color w:val="000000"/>
                <w:sz w:val="21"/>
                <w:szCs w:val="21"/>
                <w:lang w:val="en-US"/>
              </w:rPr>
              <w:t>6</w:t>
            </w:r>
          </w:p>
        </w:tc>
        <w:tc>
          <w:tcPr>
            <w:tcW w:w="4575" w:type="dxa"/>
            <w:shd w:val="clear" w:color="auto" w:fill="auto"/>
          </w:tcPr>
          <w:p>
            <w:pPr>
              <w:spacing w:after="0" w:line="240" w:lineRule="auto"/>
              <w:rPr>
                <w:color w:val="000000"/>
                <w:sz w:val="21"/>
                <w:szCs w:val="21"/>
              </w:rPr>
            </w:pPr>
            <w:r>
              <w:rPr>
                <w:color w:val="000000"/>
                <w:sz w:val="21"/>
                <w:szCs w:val="21"/>
              </w:rPr>
              <w:t>Pasien yang kurang percaya pada layanan jejaring</w:t>
            </w:r>
          </w:p>
        </w:tc>
        <w:tc>
          <w:tcPr>
            <w:tcW w:w="852" w:type="dxa"/>
            <w:shd w:val="clear" w:color="auto" w:fill="auto"/>
          </w:tcPr>
          <w:p>
            <w:pPr>
              <w:spacing w:after="0" w:line="240" w:lineRule="auto"/>
              <w:jc w:val="center"/>
              <w:rPr>
                <w:color w:val="000000"/>
                <w:sz w:val="21"/>
                <w:szCs w:val="21"/>
              </w:rPr>
            </w:pPr>
            <w:r>
              <w:rPr>
                <w:color w:val="000000"/>
                <w:sz w:val="21"/>
                <w:szCs w:val="21"/>
              </w:rPr>
              <w:t>E</w:t>
            </w:r>
          </w:p>
        </w:tc>
        <w:tc>
          <w:tcPr>
            <w:tcW w:w="4536" w:type="dxa"/>
            <w:shd w:val="clear" w:color="auto" w:fill="auto"/>
          </w:tcPr>
          <w:p>
            <w:pPr>
              <w:spacing w:after="0" w:line="240" w:lineRule="auto"/>
              <w:rPr>
                <w:color w:val="000000"/>
                <w:sz w:val="21"/>
                <w:szCs w:val="21"/>
              </w:rPr>
            </w:pPr>
            <w:r>
              <w:rPr>
                <w:color w:val="000000"/>
                <w:sz w:val="21"/>
                <w:szCs w:val="21"/>
              </w:rPr>
              <w:t>Program promosi (co-branding, afiliasi)</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1"/>
                <w:szCs w:val="21"/>
              </w:rPr>
            </w:pPr>
            <w:r>
              <w:rPr>
                <w:b/>
                <w:bCs/>
                <w:color w:val="000000"/>
                <w:sz w:val="21"/>
                <w:szCs w:val="21"/>
              </w:rPr>
              <w:t>Terwujudnya kemitraan strategis (ABGCM)</w:t>
            </w:r>
          </w:p>
        </w:tc>
        <w:tc>
          <w:tcPr>
            <w:tcW w:w="832" w:type="dxa"/>
            <w:shd w:val="clear" w:color="auto" w:fill="auto"/>
          </w:tcPr>
          <w:p>
            <w:pPr>
              <w:spacing w:after="0" w:line="240" w:lineRule="auto"/>
              <w:jc w:val="center"/>
              <w:rPr>
                <w:color w:val="000000"/>
                <w:sz w:val="21"/>
                <w:szCs w:val="21"/>
                <w:lang w:val="en-US"/>
              </w:rPr>
            </w:pPr>
            <w:r>
              <w:rPr>
                <w:color w:val="000000"/>
                <w:sz w:val="21"/>
                <w:szCs w:val="21"/>
                <w:lang w:val="en-US"/>
              </w:rPr>
              <w:t>7</w:t>
            </w:r>
          </w:p>
        </w:tc>
        <w:tc>
          <w:tcPr>
            <w:tcW w:w="4575" w:type="dxa"/>
            <w:shd w:val="clear" w:color="auto" w:fill="auto"/>
          </w:tcPr>
          <w:p>
            <w:pPr>
              <w:spacing w:after="0" w:line="240" w:lineRule="auto"/>
              <w:rPr>
                <w:color w:val="000000"/>
                <w:sz w:val="21"/>
                <w:szCs w:val="21"/>
              </w:rPr>
            </w:pPr>
            <w:r>
              <w:rPr>
                <w:color w:val="000000"/>
                <w:sz w:val="21"/>
                <w:szCs w:val="21"/>
              </w:rPr>
              <w:t>Keengganan mitra untuk bekerja sama (beda perspektif kepentingan)</w:t>
            </w:r>
          </w:p>
        </w:tc>
        <w:tc>
          <w:tcPr>
            <w:tcW w:w="852" w:type="dxa"/>
            <w:shd w:val="clear" w:color="auto" w:fill="auto"/>
          </w:tcPr>
          <w:p>
            <w:pPr>
              <w:spacing w:after="0" w:line="240" w:lineRule="auto"/>
              <w:jc w:val="center"/>
              <w:rPr>
                <w:color w:val="000000"/>
                <w:sz w:val="21"/>
                <w:szCs w:val="21"/>
              </w:rPr>
            </w:pPr>
            <w:r>
              <w:rPr>
                <w:color w:val="000000"/>
                <w:sz w:val="21"/>
                <w:szCs w:val="21"/>
              </w:rPr>
              <w:t>T</w:t>
            </w:r>
          </w:p>
        </w:tc>
        <w:tc>
          <w:tcPr>
            <w:tcW w:w="4536" w:type="dxa"/>
            <w:shd w:val="clear" w:color="auto" w:fill="auto"/>
          </w:tcPr>
          <w:p>
            <w:pPr>
              <w:spacing w:after="0" w:line="240" w:lineRule="auto"/>
              <w:rPr>
                <w:color w:val="000000"/>
                <w:sz w:val="21"/>
                <w:szCs w:val="21"/>
              </w:rPr>
            </w:pPr>
            <w:r>
              <w:rPr>
                <w:color w:val="000000"/>
                <w:sz w:val="21"/>
                <w:szCs w:val="21"/>
              </w:rPr>
              <w:t>Advokasi ke Mitra</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shd w:val="clear" w:color="auto" w:fill="auto"/>
          </w:tcPr>
          <w:p>
            <w:pPr>
              <w:spacing w:after="0" w:line="240" w:lineRule="auto"/>
              <w:jc w:val="center"/>
              <w:rPr>
                <w:color w:val="000000"/>
                <w:sz w:val="21"/>
                <w:szCs w:val="21"/>
                <w:lang w:val="en-US"/>
              </w:rPr>
            </w:pPr>
            <w:r>
              <w:rPr>
                <w:color w:val="000000"/>
                <w:sz w:val="21"/>
                <w:szCs w:val="21"/>
                <w:lang w:val="en-US"/>
              </w:rPr>
              <w:t>8</w:t>
            </w:r>
          </w:p>
        </w:tc>
        <w:tc>
          <w:tcPr>
            <w:tcW w:w="4575" w:type="dxa"/>
            <w:shd w:val="clear" w:color="auto" w:fill="auto"/>
          </w:tcPr>
          <w:p>
            <w:pPr>
              <w:spacing w:after="0" w:line="240" w:lineRule="auto"/>
              <w:rPr>
                <w:color w:val="000000"/>
                <w:sz w:val="21"/>
                <w:szCs w:val="21"/>
              </w:rPr>
            </w:pPr>
            <w:r>
              <w:rPr>
                <w:color w:val="000000"/>
                <w:sz w:val="21"/>
                <w:szCs w:val="21"/>
              </w:rPr>
              <w:t>Perubahan kebijakan regulasi KSO</w:t>
            </w:r>
          </w:p>
        </w:tc>
        <w:tc>
          <w:tcPr>
            <w:tcW w:w="852" w:type="dxa"/>
            <w:shd w:val="clear" w:color="auto" w:fill="auto"/>
          </w:tcPr>
          <w:p>
            <w:pPr>
              <w:spacing w:after="0" w:line="240" w:lineRule="auto"/>
              <w:jc w:val="center"/>
              <w:rPr>
                <w:color w:val="000000"/>
                <w:sz w:val="21"/>
                <w:szCs w:val="21"/>
              </w:rPr>
            </w:pPr>
            <w:r>
              <w:rPr>
                <w:color w:val="000000"/>
                <w:sz w:val="21"/>
                <w:szCs w:val="21"/>
              </w:rPr>
              <w:t>T</w:t>
            </w:r>
          </w:p>
        </w:tc>
        <w:tc>
          <w:tcPr>
            <w:tcW w:w="4536" w:type="dxa"/>
            <w:shd w:val="clear" w:color="auto" w:fill="auto"/>
          </w:tcPr>
          <w:p>
            <w:pPr>
              <w:spacing w:after="0" w:line="240" w:lineRule="auto"/>
              <w:rPr>
                <w:color w:val="000000"/>
                <w:sz w:val="21"/>
                <w:szCs w:val="21"/>
              </w:rPr>
            </w:pPr>
            <w:r>
              <w:rPr>
                <w:color w:val="000000"/>
                <w:sz w:val="21"/>
                <w:szCs w:val="21"/>
              </w:rPr>
              <w:t>Advokasi ke Pemerintah</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vMerge w:val="restart"/>
            <w:shd w:val="clear" w:color="auto" w:fill="auto"/>
          </w:tcPr>
          <w:p>
            <w:pPr>
              <w:spacing w:after="0" w:line="240" w:lineRule="auto"/>
              <w:jc w:val="center"/>
              <w:rPr>
                <w:color w:val="000000"/>
                <w:sz w:val="21"/>
                <w:szCs w:val="21"/>
                <w:lang w:val="en-US"/>
              </w:rPr>
            </w:pPr>
            <w:r>
              <w:rPr>
                <w:color w:val="000000"/>
                <w:sz w:val="21"/>
                <w:szCs w:val="21"/>
                <w:lang w:val="en-US"/>
              </w:rPr>
              <w:t>9</w:t>
            </w:r>
          </w:p>
          <w:p>
            <w:pPr>
              <w:spacing w:after="0" w:line="240" w:lineRule="auto"/>
              <w:jc w:val="center"/>
              <w:rPr>
                <w:color w:val="000000"/>
                <w:sz w:val="21"/>
                <w:szCs w:val="21"/>
              </w:rPr>
            </w:pPr>
            <w:r>
              <w:rPr>
                <w:color w:val="000000"/>
                <w:sz w:val="21"/>
                <w:szCs w:val="21"/>
              </w:rPr>
              <w:t> </w:t>
            </w:r>
          </w:p>
        </w:tc>
        <w:tc>
          <w:tcPr>
            <w:tcW w:w="4575" w:type="dxa"/>
            <w:vMerge w:val="restart"/>
            <w:shd w:val="clear" w:color="auto" w:fill="auto"/>
          </w:tcPr>
          <w:p>
            <w:pPr>
              <w:spacing w:after="0" w:line="240" w:lineRule="auto"/>
              <w:rPr>
                <w:color w:val="000000"/>
                <w:sz w:val="21"/>
                <w:szCs w:val="21"/>
              </w:rPr>
            </w:pPr>
            <w:r>
              <w:rPr>
                <w:color w:val="000000"/>
                <w:sz w:val="21"/>
                <w:szCs w:val="21"/>
              </w:rPr>
              <w:t>Keterbatasan sumberdaya faskes Jejaring</w:t>
            </w:r>
          </w:p>
          <w:p>
            <w:pPr>
              <w:spacing w:after="0" w:line="240" w:lineRule="auto"/>
              <w:rPr>
                <w:color w:val="000000"/>
                <w:sz w:val="21"/>
                <w:szCs w:val="21"/>
              </w:rPr>
            </w:pPr>
            <w:r>
              <w:rPr>
                <w:color w:val="000000"/>
                <w:sz w:val="21"/>
                <w:szCs w:val="21"/>
              </w:rPr>
              <w:t> </w:t>
            </w:r>
          </w:p>
        </w:tc>
        <w:tc>
          <w:tcPr>
            <w:tcW w:w="852" w:type="dxa"/>
            <w:shd w:val="clear" w:color="auto" w:fill="auto"/>
          </w:tcPr>
          <w:p>
            <w:pPr>
              <w:spacing w:after="0" w:line="240" w:lineRule="auto"/>
              <w:jc w:val="center"/>
              <w:rPr>
                <w:color w:val="000000"/>
                <w:sz w:val="21"/>
                <w:szCs w:val="21"/>
              </w:rPr>
            </w:pPr>
            <w:r>
              <w:rPr>
                <w:color w:val="000000"/>
                <w:sz w:val="21"/>
                <w:szCs w:val="21"/>
              </w:rPr>
              <w:t>E</w:t>
            </w:r>
          </w:p>
        </w:tc>
        <w:tc>
          <w:tcPr>
            <w:tcW w:w="4536" w:type="dxa"/>
            <w:shd w:val="clear" w:color="auto" w:fill="auto"/>
          </w:tcPr>
          <w:p>
            <w:pPr>
              <w:spacing w:after="0" w:line="240" w:lineRule="auto"/>
              <w:rPr>
                <w:color w:val="000000"/>
                <w:sz w:val="21"/>
                <w:szCs w:val="21"/>
              </w:rPr>
            </w:pPr>
            <w:r>
              <w:rPr>
                <w:color w:val="000000"/>
                <w:sz w:val="21"/>
                <w:szCs w:val="21"/>
              </w:rPr>
              <w:t>Advokasi ke Pemda dan Mitra</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vMerge w:val="continue"/>
            <w:shd w:val="clear" w:color="auto" w:fill="auto"/>
          </w:tcPr>
          <w:p>
            <w:pPr>
              <w:spacing w:after="0" w:line="240" w:lineRule="auto"/>
              <w:jc w:val="center"/>
              <w:rPr>
                <w:color w:val="000000"/>
                <w:sz w:val="21"/>
                <w:szCs w:val="21"/>
              </w:rPr>
            </w:pPr>
          </w:p>
        </w:tc>
        <w:tc>
          <w:tcPr>
            <w:tcW w:w="4575" w:type="dxa"/>
            <w:vMerge w:val="continue"/>
            <w:shd w:val="clear" w:color="auto" w:fill="auto"/>
          </w:tcPr>
          <w:p>
            <w:pPr>
              <w:spacing w:after="0" w:line="240" w:lineRule="auto"/>
              <w:rPr>
                <w:color w:val="000000"/>
                <w:sz w:val="21"/>
                <w:szCs w:val="21"/>
              </w:rPr>
            </w:pPr>
          </w:p>
        </w:tc>
        <w:tc>
          <w:tcPr>
            <w:tcW w:w="852" w:type="dxa"/>
            <w:shd w:val="clear" w:color="auto" w:fill="auto"/>
          </w:tcPr>
          <w:p>
            <w:pPr>
              <w:spacing w:after="0" w:line="240" w:lineRule="auto"/>
              <w:jc w:val="center"/>
              <w:rPr>
                <w:color w:val="000000"/>
                <w:sz w:val="21"/>
                <w:szCs w:val="21"/>
              </w:rPr>
            </w:pPr>
          </w:p>
        </w:tc>
        <w:tc>
          <w:tcPr>
            <w:tcW w:w="4536" w:type="dxa"/>
            <w:shd w:val="clear" w:color="auto" w:fill="auto"/>
          </w:tcPr>
          <w:p>
            <w:pPr>
              <w:spacing w:after="0" w:line="240" w:lineRule="auto"/>
              <w:rPr>
                <w:color w:val="000000"/>
                <w:sz w:val="21"/>
                <w:szCs w:val="21"/>
              </w:rPr>
            </w:pPr>
            <w:r>
              <w:rPr>
                <w:color w:val="000000"/>
                <w:sz w:val="21"/>
                <w:szCs w:val="21"/>
              </w:rPr>
              <w:t xml:space="preserve">Kebijakan kepada RS Jejaring agar staf spesialis mengambil program sub-spesialis </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shd w:val="clear" w:color="auto" w:fill="auto"/>
          </w:tcPr>
          <w:p>
            <w:pPr>
              <w:spacing w:after="0" w:line="240" w:lineRule="auto"/>
              <w:rPr>
                <w:b/>
                <w:bCs/>
                <w:color w:val="000000"/>
                <w:sz w:val="21"/>
                <w:szCs w:val="21"/>
              </w:rPr>
            </w:pPr>
            <w:r>
              <w:rPr>
                <w:b/>
                <w:bCs/>
                <w:color w:val="000000"/>
                <w:sz w:val="21"/>
                <w:szCs w:val="21"/>
              </w:rPr>
              <w:t>Terwujudnya integrasi layanan, pendidikan dan penelitian</w:t>
            </w:r>
          </w:p>
        </w:tc>
        <w:tc>
          <w:tcPr>
            <w:tcW w:w="832" w:type="dxa"/>
            <w:shd w:val="clear" w:color="auto" w:fill="auto"/>
          </w:tcPr>
          <w:p>
            <w:pPr>
              <w:spacing w:after="0" w:line="240" w:lineRule="auto"/>
              <w:jc w:val="center"/>
              <w:rPr>
                <w:color w:val="000000"/>
                <w:sz w:val="21"/>
                <w:szCs w:val="21"/>
                <w:lang w:val="en-US"/>
              </w:rPr>
            </w:pPr>
            <w:r>
              <w:rPr>
                <w:color w:val="000000"/>
                <w:sz w:val="21"/>
                <w:szCs w:val="21"/>
              </w:rPr>
              <w:t>1</w:t>
            </w:r>
            <w:r>
              <w:rPr>
                <w:color w:val="000000"/>
                <w:sz w:val="21"/>
                <w:szCs w:val="21"/>
                <w:lang w:val="en-US"/>
              </w:rPr>
              <w:t>0</w:t>
            </w:r>
          </w:p>
        </w:tc>
        <w:tc>
          <w:tcPr>
            <w:tcW w:w="4575" w:type="dxa"/>
            <w:shd w:val="clear" w:color="auto" w:fill="auto"/>
          </w:tcPr>
          <w:p>
            <w:pPr>
              <w:spacing w:after="0" w:line="240" w:lineRule="auto"/>
              <w:rPr>
                <w:color w:val="000000"/>
                <w:sz w:val="21"/>
                <w:szCs w:val="21"/>
              </w:rPr>
            </w:pPr>
            <w:r>
              <w:rPr>
                <w:color w:val="000000"/>
                <w:sz w:val="21"/>
                <w:szCs w:val="21"/>
              </w:rPr>
              <w:t>Kesadaran dan kedisiplinan staf dalam menjalankan CP (budaya)</w:t>
            </w:r>
          </w:p>
        </w:tc>
        <w:tc>
          <w:tcPr>
            <w:tcW w:w="852" w:type="dxa"/>
            <w:shd w:val="clear" w:color="auto" w:fill="auto"/>
          </w:tcPr>
          <w:p>
            <w:pPr>
              <w:spacing w:after="0" w:line="240" w:lineRule="auto"/>
              <w:jc w:val="center"/>
              <w:rPr>
                <w:color w:val="000000"/>
                <w:sz w:val="21"/>
                <w:szCs w:val="21"/>
              </w:rPr>
            </w:pPr>
            <w:r>
              <w:rPr>
                <w:color w:val="000000"/>
                <w:sz w:val="21"/>
                <w:szCs w:val="21"/>
              </w:rPr>
              <w:t>E</w:t>
            </w:r>
          </w:p>
        </w:tc>
        <w:tc>
          <w:tcPr>
            <w:tcW w:w="4536" w:type="dxa"/>
            <w:shd w:val="clear" w:color="auto" w:fill="auto"/>
          </w:tcPr>
          <w:p>
            <w:pPr>
              <w:spacing w:after="0" w:line="240" w:lineRule="auto"/>
              <w:rPr>
                <w:color w:val="000000"/>
                <w:sz w:val="21"/>
                <w:szCs w:val="21"/>
              </w:rPr>
            </w:pPr>
            <w:r>
              <w:rPr>
                <w:color w:val="000000"/>
                <w:sz w:val="21"/>
                <w:szCs w:val="21"/>
              </w:rPr>
              <w:t xml:space="preserve">Program Reward &amp; Consequences. </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1"/>
                <w:szCs w:val="21"/>
              </w:rPr>
            </w:pPr>
            <w:r>
              <w:rPr>
                <w:b/>
                <w:bCs/>
                <w:color w:val="000000"/>
                <w:sz w:val="21"/>
                <w:szCs w:val="21"/>
              </w:rPr>
              <w:t>Terwujudnya pengarus-utamaan riset pusat studi untuk kesehatan masyarakat</w:t>
            </w:r>
          </w:p>
          <w:p>
            <w:pPr>
              <w:spacing w:after="0" w:line="240" w:lineRule="auto"/>
              <w:rPr>
                <w:b/>
                <w:bCs/>
                <w:color w:val="000000"/>
                <w:sz w:val="21"/>
                <w:szCs w:val="21"/>
              </w:rPr>
            </w:pPr>
            <w:r>
              <w:rPr>
                <w:b/>
                <w:bCs/>
                <w:color w:val="000000"/>
                <w:sz w:val="21"/>
                <w:szCs w:val="21"/>
              </w:rPr>
              <w:t> </w:t>
            </w:r>
          </w:p>
          <w:p>
            <w:pPr>
              <w:spacing w:after="0" w:line="240" w:lineRule="auto"/>
              <w:rPr>
                <w:b/>
                <w:bCs/>
                <w:color w:val="000000"/>
                <w:sz w:val="21"/>
                <w:szCs w:val="21"/>
              </w:rPr>
            </w:pPr>
            <w:r>
              <w:rPr>
                <w:b/>
                <w:bCs/>
                <w:color w:val="000000"/>
                <w:sz w:val="21"/>
                <w:szCs w:val="21"/>
              </w:rPr>
              <w:t> </w:t>
            </w:r>
          </w:p>
          <w:p>
            <w:pPr>
              <w:spacing w:after="0" w:line="240" w:lineRule="auto"/>
              <w:rPr>
                <w:b/>
                <w:bCs/>
                <w:color w:val="000000"/>
                <w:sz w:val="21"/>
                <w:szCs w:val="21"/>
              </w:rPr>
            </w:pPr>
            <w:r>
              <w:rPr>
                <w:b/>
                <w:bCs/>
                <w:color w:val="000000"/>
                <w:sz w:val="21"/>
                <w:szCs w:val="21"/>
              </w:rPr>
              <w:t> </w:t>
            </w:r>
          </w:p>
        </w:tc>
        <w:tc>
          <w:tcPr>
            <w:tcW w:w="832" w:type="dxa"/>
            <w:vMerge w:val="restart"/>
            <w:shd w:val="clear" w:color="auto" w:fill="auto"/>
          </w:tcPr>
          <w:p>
            <w:pPr>
              <w:spacing w:after="0" w:line="240" w:lineRule="auto"/>
              <w:jc w:val="center"/>
              <w:rPr>
                <w:color w:val="000000"/>
                <w:sz w:val="21"/>
                <w:szCs w:val="21"/>
              </w:rPr>
            </w:pPr>
            <w:r>
              <w:rPr>
                <w:color w:val="000000"/>
                <w:sz w:val="21"/>
                <w:szCs w:val="21"/>
                <w:lang w:val="en-US"/>
              </w:rPr>
              <w:t>11</w:t>
            </w:r>
          </w:p>
          <w:p>
            <w:pPr>
              <w:spacing w:after="0" w:line="240" w:lineRule="auto"/>
              <w:jc w:val="center"/>
              <w:rPr>
                <w:color w:val="000000"/>
                <w:sz w:val="21"/>
                <w:szCs w:val="21"/>
              </w:rPr>
            </w:pPr>
            <w:r>
              <w:rPr>
                <w:color w:val="000000"/>
                <w:sz w:val="21"/>
                <w:szCs w:val="21"/>
              </w:rPr>
              <w:t> </w:t>
            </w:r>
          </w:p>
        </w:tc>
        <w:tc>
          <w:tcPr>
            <w:tcW w:w="4575" w:type="dxa"/>
            <w:vMerge w:val="restart"/>
            <w:shd w:val="clear" w:color="auto" w:fill="auto"/>
          </w:tcPr>
          <w:p>
            <w:pPr>
              <w:spacing w:after="0" w:line="240" w:lineRule="auto"/>
              <w:rPr>
                <w:color w:val="000000"/>
                <w:sz w:val="21"/>
                <w:szCs w:val="21"/>
              </w:rPr>
            </w:pPr>
            <w:r>
              <w:rPr>
                <w:color w:val="000000"/>
                <w:sz w:val="21"/>
                <w:szCs w:val="21"/>
              </w:rPr>
              <w:t>Keengganan staf peneliti untuk menyesuaikan roadmap riset terhadap main-streaming yang ditentukan</w:t>
            </w:r>
          </w:p>
        </w:tc>
        <w:tc>
          <w:tcPr>
            <w:tcW w:w="852" w:type="dxa"/>
            <w:vMerge w:val="restart"/>
            <w:shd w:val="clear" w:color="auto" w:fill="auto"/>
          </w:tcPr>
          <w:p>
            <w:pPr>
              <w:spacing w:after="0" w:line="240" w:lineRule="auto"/>
              <w:jc w:val="center"/>
              <w:rPr>
                <w:color w:val="000000"/>
                <w:sz w:val="21"/>
                <w:szCs w:val="21"/>
              </w:rPr>
            </w:pPr>
            <w:r>
              <w:rPr>
                <w:color w:val="000000"/>
                <w:sz w:val="21"/>
                <w:szCs w:val="21"/>
              </w:rPr>
              <w:t>T</w:t>
            </w:r>
          </w:p>
          <w:p>
            <w:pPr>
              <w:spacing w:after="0" w:line="240" w:lineRule="auto"/>
              <w:jc w:val="center"/>
              <w:rPr>
                <w:color w:val="000000"/>
                <w:sz w:val="21"/>
                <w:szCs w:val="21"/>
              </w:rPr>
            </w:pPr>
            <w:r>
              <w:rPr>
                <w:color w:val="000000"/>
                <w:sz w:val="21"/>
                <w:szCs w:val="21"/>
              </w:rPr>
              <w:t> </w:t>
            </w:r>
          </w:p>
        </w:tc>
        <w:tc>
          <w:tcPr>
            <w:tcW w:w="4536" w:type="dxa"/>
            <w:shd w:val="clear" w:color="auto" w:fill="auto"/>
          </w:tcPr>
          <w:p>
            <w:pPr>
              <w:spacing w:after="0" w:line="240" w:lineRule="auto"/>
              <w:rPr>
                <w:color w:val="000000"/>
                <w:sz w:val="21"/>
                <w:szCs w:val="21"/>
              </w:rPr>
            </w:pPr>
            <w:r>
              <w:rPr>
                <w:color w:val="000000"/>
                <w:sz w:val="21"/>
                <w:szCs w:val="21"/>
              </w:rPr>
              <w:t xml:space="preserve">Program Reward &amp; Consequences. </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vMerge w:val="continue"/>
            <w:shd w:val="clear" w:color="auto" w:fill="auto"/>
          </w:tcPr>
          <w:p>
            <w:pPr>
              <w:spacing w:after="0" w:line="240" w:lineRule="auto"/>
              <w:jc w:val="center"/>
              <w:rPr>
                <w:color w:val="000000"/>
                <w:sz w:val="21"/>
                <w:szCs w:val="21"/>
              </w:rPr>
            </w:pPr>
          </w:p>
        </w:tc>
        <w:tc>
          <w:tcPr>
            <w:tcW w:w="4575" w:type="dxa"/>
            <w:vMerge w:val="continue"/>
            <w:shd w:val="clear" w:color="auto" w:fill="auto"/>
          </w:tcPr>
          <w:p>
            <w:pPr>
              <w:spacing w:after="0" w:line="240" w:lineRule="auto"/>
              <w:rPr>
                <w:color w:val="000000"/>
                <w:sz w:val="21"/>
                <w:szCs w:val="21"/>
              </w:rPr>
            </w:pPr>
          </w:p>
        </w:tc>
        <w:tc>
          <w:tcPr>
            <w:tcW w:w="852" w:type="dxa"/>
            <w:vMerge w:val="continue"/>
            <w:shd w:val="clear" w:color="auto" w:fill="auto"/>
          </w:tcPr>
          <w:p>
            <w:pPr>
              <w:spacing w:after="0" w:line="240" w:lineRule="auto"/>
              <w:jc w:val="center"/>
              <w:rPr>
                <w:color w:val="000000"/>
                <w:sz w:val="21"/>
                <w:szCs w:val="21"/>
              </w:rPr>
            </w:pPr>
          </w:p>
        </w:tc>
        <w:tc>
          <w:tcPr>
            <w:tcW w:w="4536" w:type="dxa"/>
            <w:shd w:val="clear" w:color="auto" w:fill="auto"/>
          </w:tcPr>
          <w:p>
            <w:pPr>
              <w:spacing w:after="0" w:line="240" w:lineRule="auto"/>
              <w:rPr>
                <w:color w:val="000000"/>
                <w:sz w:val="21"/>
                <w:szCs w:val="21"/>
              </w:rPr>
            </w:pPr>
            <w:r>
              <w:rPr>
                <w:color w:val="000000"/>
                <w:sz w:val="21"/>
                <w:szCs w:val="21"/>
              </w:rPr>
              <w:t>Kebijakan topik penelitian yang harus sesuai dengan main-stream</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589" w:hRule="atLeast"/>
        </w:trPr>
        <w:tc>
          <w:tcPr>
            <w:tcW w:w="2995" w:type="dxa"/>
            <w:vMerge w:val="continue"/>
            <w:shd w:val="clear" w:color="auto" w:fill="auto"/>
          </w:tcPr>
          <w:p>
            <w:pPr>
              <w:spacing w:after="0" w:line="240" w:lineRule="auto"/>
              <w:rPr>
                <w:b/>
                <w:bCs/>
                <w:color w:val="000000"/>
                <w:sz w:val="21"/>
                <w:szCs w:val="21"/>
              </w:rPr>
            </w:pPr>
          </w:p>
        </w:tc>
        <w:tc>
          <w:tcPr>
            <w:tcW w:w="832" w:type="dxa"/>
            <w:shd w:val="clear" w:color="auto" w:fill="auto"/>
          </w:tcPr>
          <w:p>
            <w:pPr>
              <w:spacing w:after="0" w:line="240" w:lineRule="auto"/>
              <w:jc w:val="center"/>
              <w:rPr>
                <w:color w:val="000000"/>
                <w:sz w:val="21"/>
                <w:szCs w:val="21"/>
                <w:lang w:val="en-US"/>
              </w:rPr>
            </w:pPr>
            <w:r>
              <w:rPr>
                <w:color w:val="000000"/>
                <w:sz w:val="21"/>
                <w:szCs w:val="21"/>
              </w:rPr>
              <w:t>1</w:t>
            </w:r>
            <w:r>
              <w:rPr>
                <w:color w:val="000000"/>
                <w:sz w:val="21"/>
                <w:szCs w:val="21"/>
                <w:lang w:val="en-US"/>
              </w:rPr>
              <w:t>2</w:t>
            </w:r>
          </w:p>
        </w:tc>
        <w:tc>
          <w:tcPr>
            <w:tcW w:w="4575" w:type="dxa"/>
            <w:shd w:val="clear" w:color="auto" w:fill="auto"/>
          </w:tcPr>
          <w:p>
            <w:pPr>
              <w:spacing w:after="0" w:line="240" w:lineRule="auto"/>
              <w:rPr>
                <w:color w:val="000000"/>
                <w:sz w:val="21"/>
                <w:szCs w:val="21"/>
              </w:rPr>
            </w:pPr>
            <w:r>
              <w:rPr>
                <w:color w:val="000000"/>
                <w:sz w:val="21"/>
                <w:szCs w:val="21"/>
              </w:rPr>
              <w:t>Keterbatasan waktu staf (sibuk dengan pelayanan dan pendidikan)</w:t>
            </w:r>
          </w:p>
        </w:tc>
        <w:tc>
          <w:tcPr>
            <w:tcW w:w="852" w:type="dxa"/>
            <w:shd w:val="clear" w:color="auto" w:fill="auto"/>
          </w:tcPr>
          <w:p>
            <w:pPr>
              <w:spacing w:after="0" w:line="240" w:lineRule="auto"/>
              <w:jc w:val="center"/>
              <w:rPr>
                <w:color w:val="000000"/>
                <w:sz w:val="21"/>
                <w:szCs w:val="21"/>
              </w:rPr>
            </w:pPr>
            <w:r>
              <w:rPr>
                <w:color w:val="000000"/>
                <w:sz w:val="21"/>
                <w:szCs w:val="21"/>
              </w:rPr>
              <w:t>T</w:t>
            </w:r>
          </w:p>
        </w:tc>
        <w:tc>
          <w:tcPr>
            <w:tcW w:w="4536" w:type="dxa"/>
            <w:shd w:val="clear" w:color="auto" w:fill="auto"/>
          </w:tcPr>
          <w:p>
            <w:pPr>
              <w:spacing w:after="0" w:line="240" w:lineRule="auto"/>
              <w:rPr>
                <w:color w:val="000000"/>
                <w:sz w:val="21"/>
                <w:szCs w:val="21"/>
              </w:rPr>
            </w:pPr>
            <w:r>
              <w:rPr>
                <w:color w:val="000000"/>
                <w:sz w:val="21"/>
                <w:szCs w:val="21"/>
              </w:rPr>
              <w:t>Analisis dan Pemerataan Beban Kerja (Optimalisasi beban staf)</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1"/>
                <w:szCs w:val="21"/>
              </w:rPr>
            </w:pPr>
          </w:p>
        </w:tc>
        <w:tc>
          <w:tcPr>
            <w:tcW w:w="832" w:type="dxa"/>
            <w:shd w:val="clear" w:color="auto" w:fill="auto"/>
          </w:tcPr>
          <w:p>
            <w:pPr>
              <w:spacing w:after="0" w:line="240" w:lineRule="auto"/>
              <w:jc w:val="center"/>
              <w:rPr>
                <w:color w:val="000000"/>
                <w:sz w:val="21"/>
                <w:szCs w:val="21"/>
                <w:lang w:val="en-US"/>
              </w:rPr>
            </w:pPr>
            <w:r>
              <w:rPr>
                <w:color w:val="000000"/>
                <w:sz w:val="21"/>
                <w:szCs w:val="21"/>
              </w:rPr>
              <w:t>1</w:t>
            </w:r>
            <w:r>
              <w:rPr>
                <w:color w:val="000000"/>
                <w:sz w:val="21"/>
                <w:szCs w:val="21"/>
                <w:lang w:val="en-US"/>
              </w:rPr>
              <w:t>3</w:t>
            </w:r>
          </w:p>
        </w:tc>
        <w:tc>
          <w:tcPr>
            <w:tcW w:w="4575" w:type="dxa"/>
            <w:shd w:val="clear" w:color="auto" w:fill="auto"/>
          </w:tcPr>
          <w:p>
            <w:pPr>
              <w:spacing w:after="0" w:line="240" w:lineRule="auto"/>
              <w:rPr>
                <w:color w:val="000000"/>
                <w:sz w:val="21"/>
                <w:szCs w:val="21"/>
              </w:rPr>
            </w:pPr>
            <w:r>
              <w:rPr>
                <w:color w:val="000000"/>
                <w:sz w:val="21"/>
                <w:szCs w:val="21"/>
              </w:rPr>
              <w:t>Perubahan fokus atau trend kebutuhan masyarakat</w:t>
            </w:r>
          </w:p>
        </w:tc>
        <w:tc>
          <w:tcPr>
            <w:tcW w:w="852" w:type="dxa"/>
            <w:shd w:val="clear" w:color="auto" w:fill="auto"/>
          </w:tcPr>
          <w:p>
            <w:pPr>
              <w:spacing w:after="0" w:line="240" w:lineRule="auto"/>
              <w:jc w:val="center"/>
              <w:rPr>
                <w:color w:val="000000"/>
                <w:sz w:val="21"/>
                <w:szCs w:val="21"/>
              </w:rPr>
            </w:pPr>
            <w:r>
              <w:rPr>
                <w:color w:val="000000"/>
                <w:sz w:val="21"/>
                <w:szCs w:val="21"/>
              </w:rPr>
              <w:t>T</w:t>
            </w:r>
          </w:p>
        </w:tc>
        <w:tc>
          <w:tcPr>
            <w:tcW w:w="4536" w:type="dxa"/>
            <w:shd w:val="clear" w:color="auto" w:fill="auto"/>
          </w:tcPr>
          <w:p>
            <w:pPr>
              <w:spacing w:after="0" w:line="240" w:lineRule="auto"/>
              <w:rPr>
                <w:color w:val="000000"/>
                <w:sz w:val="21"/>
                <w:szCs w:val="21"/>
              </w:rPr>
            </w:pPr>
            <w:r>
              <w:rPr>
                <w:color w:val="000000"/>
                <w:sz w:val="21"/>
                <w:szCs w:val="21"/>
              </w:rPr>
              <w:t>Penyempurnaan pohon penelitian berbasiskan proyeksi kebutuhan masyarakat (trend-watching)</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0"/>
                <w:szCs w:val="20"/>
              </w:rPr>
            </w:pPr>
            <w:r>
              <w:rPr>
                <w:b/>
                <w:bCs/>
                <w:color w:val="000000"/>
                <w:sz w:val="20"/>
                <w:szCs w:val="20"/>
              </w:rPr>
              <w:t>Terwujudnya sarana prasarana yang andal</w:t>
            </w:r>
          </w:p>
        </w:tc>
        <w:tc>
          <w:tcPr>
            <w:tcW w:w="832" w:type="dxa"/>
            <w:shd w:val="clear" w:color="auto" w:fill="auto"/>
          </w:tcPr>
          <w:p>
            <w:pPr>
              <w:spacing w:after="0" w:line="240" w:lineRule="auto"/>
              <w:ind w:left="2160" w:hanging="2160"/>
              <w:jc w:val="center"/>
              <w:rPr>
                <w:color w:val="000000"/>
                <w:sz w:val="20"/>
                <w:szCs w:val="20"/>
              </w:rPr>
            </w:pPr>
            <w:r>
              <w:rPr>
                <w:color w:val="000000"/>
                <w:sz w:val="20"/>
                <w:szCs w:val="20"/>
              </w:rPr>
              <w:t>17</w:t>
            </w:r>
          </w:p>
        </w:tc>
        <w:tc>
          <w:tcPr>
            <w:tcW w:w="4575" w:type="dxa"/>
            <w:shd w:val="clear" w:color="auto" w:fill="auto"/>
          </w:tcPr>
          <w:p>
            <w:pPr>
              <w:spacing w:after="0" w:line="240" w:lineRule="auto"/>
              <w:rPr>
                <w:color w:val="000000"/>
                <w:sz w:val="20"/>
                <w:szCs w:val="20"/>
              </w:rPr>
            </w:pPr>
            <w:r>
              <w:rPr>
                <w:color w:val="000000"/>
                <w:sz w:val="20"/>
                <w:szCs w:val="20"/>
              </w:rPr>
              <w:t>Perubahan kebijakan regulasi KSO</w:t>
            </w:r>
          </w:p>
        </w:tc>
        <w:tc>
          <w:tcPr>
            <w:tcW w:w="852" w:type="dxa"/>
            <w:shd w:val="clear" w:color="auto" w:fill="auto"/>
          </w:tcPr>
          <w:p>
            <w:pPr>
              <w:spacing w:after="0" w:line="240" w:lineRule="auto"/>
              <w:jc w:val="center"/>
              <w:rPr>
                <w:color w:val="000000"/>
                <w:sz w:val="20"/>
                <w:szCs w:val="20"/>
              </w:rPr>
            </w:pPr>
            <w:r>
              <w:rPr>
                <w:color w:val="000000"/>
                <w:sz w:val="20"/>
                <w:szCs w:val="20"/>
              </w:rPr>
              <w:t>T</w:t>
            </w:r>
          </w:p>
        </w:tc>
        <w:tc>
          <w:tcPr>
            <w:tcW w:w="4536" w:type="dxa"/>
            <w:shd w:val="clear" w:color="auto" w:fill="auto"/>
          </w:tcPr>
          <w:p>
            <w:pPr>
              <w:spacing w:after="0" w:line="240" w:lineRule="auto"/>
              <w:rPr>
                <w:color w:val="000000"/>
                <w:sz w:val="20"/>
                <w:szCs w:val="20"/>
              </w:rPr>
            </w:pPr>
            <w:r>
              <w:rPr>
                <w:color w:val="000000"/>
                <w:sz w:val="20"/>
                <w:szCs w:val="20"/>
              </w:rPr>
              <w:t>Advokasi ke Pemerintah</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0"/>
                <w:szCs w:val="20"/>
              </w:rPr>
            </w:pPr>
          </w:p>
        </w:tc>
        <w:tc>
          <w:tcPr>
            <w:tcW w:w="832" w:type="dxa"/>
            <w:shd w:val="clear" w:color="auto" w:fill="auto"/>
          </w:tcPr>
          <w:p>
            <w:pPr>
              <w:spacing w:after="0" w:line="240" w:lineRule="auto"/>
              <w:ind w:left="2160" w:hanging="2160"/>
              <w:jc w:val="center"/>
              <w:rPr>
                <w:color w:val="000000"/>
                <w:sz w:val="20"/>
                <w:szCs w:val="20"/>
              </w:rPr>
            </w:pPr>
            <w:r>
              <w:rPr>
                <w:color w:val="000000"/>
                <w:sz w:val="20"/>
                <w:szCs w:val="20"/>
              </w:rPr>
              <w:t>18</w:t>
            </w:r>
          </w:p>
        </w:tc>
        <w:tc>
          <w:tcPr>
            <w:tcW w:w="4575" w:type="dxa"/>
            <w:shd w:val="clear" w:color="auto" w:fill="auto"/>
          </w:tcPr>
          <w:p>
            <w:pPr>
              <w:spacing w:after="0" w:line="240" w:lineRule="auto"/>
              <w:rPr>
                <w:color w:val="000000"/>
                <w:sz w:val="20"/>
                <w:szCs w:val="20"/>
              </w:rPr>
            </w:pPr>
            <w:r>
              <w:rPr>
                <w:color w:val="000000"/>
                <w:sz w:val="20"/>
                <w:szCs w:val="20"/>
              </w:rPr>
              <w:t>Kurangnya ketertarikan dari vendor (return yang lama)</w:t>
            </w:r>
          </w:p>
        </w:tc>
        <w:tc>
          <w:tcPr>
            <w:tcW w:w="852" w:type="dxa"/>
            <w:shd w:val="clear" w:color="auto" w:fill="auto"/>
          </w:tcPr>
          <w:p>
            <w:pPr>
              <w:spacing w:after="0" w:line="240" w:lineRule="auto"/>
              <w:jc w:val="center"/>
              <w:rPr>
                <w:color w:val="000000"/>
                <w:sz w:val="20"/>
                <w:szCs w:val="20"/>
              </w:rPr>
            </w:pPr>
            <w:r>
              <w:rPr>
                <w:color w:val="000000"/>
                <w:sz w:val="20"/>
                <w:szCs w:val="20"/>
              </w:rPr>
              <w:t>T</w:t>
            </w:r>
          </w:p>
        </w:tc>
        <w:tc>
          <w:tcPr>
            <w:tcW w:w="4536" w:type="dxa"/>
            <w:shd w:val="clear" w:color="auto" w:fill="auto"/>
          </w:tcPr>
          <w:p>
            <w:pPr>
              <w:spacing w:after="0" w:line="240" w:lineRule="auto"/>
              <w:rPr>
                <w:color w:val="000000"/>
                <w:sz w:val="20"/>
                <w:szCs w:val="20"/>
              </w:rPr>
            </w:pPr>
            <w:r>
              <w:rPr>
                <w:color w:val="000000"/>
                <w:sz w:val="20"/>
                <w:szCs w:val="20"/>
              </w:rPr>
              <w:t>Penyempurnaan sistem KSO dan advokasi ke pemerintah</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0"/>
                <w:szCs w:val="20"/>
              </w:rPr>
            </w:pPr>
            <w:r>
              <w:rPr>
                <w:b/>
                <w:bCs/>
                <w:color w:val="000000"/>
                <w:sz w:val="20"/>
                <w:szCs w:val="20"/>
              </w:rPr>
              <w:t>Terwujudnya sarana prasarana yang andal</w:t>
            </w:r>
          </w:p>
        </w:tc>
        <w:tc>
          <w:tcPr>
            <w:tcW w:w="832" w:type="dxa"/>
            <w:vMerge w:val="restart"/>
            <w:shd w:val="clear" w:color="auto" w:fill="auto"/>
          </w:tcPr>
          <w:p>
            <w:pPr>
              <w:spacing w:after="0" w:line="240" w:lineRule="auto"/>
              <w:ind w:left="2160" w:hanging="2160"/>
              <w:jc w:val="center"/>
              <w:rPr>
                <w:color w:val="000000"/>
                <w:sz w:val="20"/>
                <w:szCs w:val="20"/>
              </w:rPr>
            </w:pPr>
            <w:r>
              <w:rPr>
                <w:color w:val="000000"/>
                <w:sz w:val="20"/>
                <w:szCs w:val="20"/>
              </w:rPr>
              <w:t>19</w:t>
            </w:r>
          </w:p>
          <w:p>
            <w:pPr>
              <w:spacing w:after="0" w:line="240" w:lineRule="auto"/>
              <w:ind w:left="2160" w:hanging="2160"/>
              <w:jc w:val="center"/>
              <w:rPr>
                <w:color w:val="000000"/>
                <w:sz w:val="20"/>
                <w:szCs w:val="20"/>
              </w:rPr>
            </w:pPr>
            <w:r>
              <w:rPr>
                <w:color w:val="000000"/>
                <w:sz w:val="20"/>
                <w:szCs w:val="20"/>
              </w:rPr>
              <w:t> </w:t>
            </w:r>
          </w:p>
        </w:tc>
        <w:tc>
          <w:tcPr>
            <w:tcW w:w="4575" w:type="dxa"/>
            <w:vMerge w:val="restart"/>
            <w:shd w:val="clear" w:color="auto" w:fill="auto"/>
          </w:tcPr>
          <w:p>
            <w:pPr>
              <w:spacing w:after="0" w:line="240" w:lineRule="auto"/>
              <w:rPr>
                <w:color w:val="000000"/>
                <w:sz w:val="20"/>
                <w:szCs w:val="20"/>
              </w:rPr>
            </w:pPr>
            <w:r>
              <w:rPr>
                <w:color w:val="000000"/>
                <w:sz w:val="20"/>
                <w:szCs w:val="20"/>
              </w:rPr>
              <w:t>Terbatasnya alokasi dana pusat</w:t>
            </w:r>
          </w:p>
          <w:p>
            <w:pPr>
              <w:spacing w:after="0" w:line="240" w:lineRule="auto"/>
              <w:rPr>
                <w:color w:val="000000"/>
                <w:sz w:val="20"/>
                <w:szCs w:val="20"/>
              </w:rPr>
            </w:pPr>
            <w:r>
              <w:rPr>
                <w:color w:val="000000"/>
                <w:sz w:val="20"/>
                <w:szCs w:val="20"/>
              </w:rPr>
              <w:t> </w:t>
            </w:r>
          </w:p>
        </w:tc>
        <w:tc>
          <w:tcPr>
            <w:tcW w:w="852" w:type="dxa"/>
            <w:vMerge w:val="restart"/>
            <w:shd w:val="clear" w:color="auto" w:fill="auto"/>
          </w:tcPr>
          <w:p>
            <w:pPr>
              <w:spacing w:after="0" w:line="240" w:lineRule="auto"/>
              <w:jc w:val="center"/>
              <w:rPr>
                <w:color w:val="000000"/>
                <w:sz w:val="20"/>
                <w:szCs w:val="20"/>
              </w:rPr>
            </w:pPr>
            <w:r>
              <w:rPr>
                <w:color w:val="000000"/>
                <w:sz w:val="20"/>
                <w:szCs w:val="20"/>
              </w:rPr>
              <w:t>E</w:t>
            </w:r>
          </w:p>
          <w:p>
            <w:pPr>
              <w:spacing w:after="0" w:line="240" w:lineRule="auto"/>
              <w:jc w:val="center"/>
              <w:rPr>
                <w:color w:val="000000"/>
                <w:sz w:val="20"/>
                <w:szCs w:val="20"/>
              </w:rPr>
            </w:pPr>
            <w:r>
              <w:rPr>
                <w:color w:val="000000"/>
                <w:sz w:val="20"/>
                <w:szCs w:val="20"/>
              </w:rPr>
              <w:t> </w:t>
            </w:r>
          </w:p>
        </w:tc>
        <w:tc>
          <w:tcPr>
            <w:tcW w:w="4536" w:type="dxa"/>
            <w:shd w:val="clear" w:color="auto" w:fill="auto"/>
          </w:tcPr>
          <w:p>
            <w:pPr>
              <w:spacing w:after="0" w:line="240" w:lineRule="auto"/>
              <w:rPr>
                <w:color w:val="000000"/>
                <w:sz w:val="20"/>
                <w:szCs w:val="20"/>
              </w:rPr>
            </w:pPr>
            <w:r>
              <w:rPr>
                <w:color w:val="000000"/>
                <w:sz w:val="20"/>
                <w:szCs w:val="20"/>
              </w:rPr>
              <w:t>Advokasi ke Pemerintah</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0"/>
                <w:szCs w:val="20"/>
              </w:rPr>
            </w:pPr>
          </w:p>
        </w:tc>
        <w:tc>
          <w:tcPr>
            <w:tcW w:w="832" w:type="dxa"/>
            <w:vMerge w:val="continue"/>
            <w:shd w:val="clear" w:color="auto" w:fill="auto"/>
          </w:tcPr>
          <w:p>
            <w:pPr>
              <w:spacing w:after="0" w:line="240" w:lineRule="auto"/>
              <w:ind w:left="2160" w:hanging="2160"/>
              <w:jc w:val="center"/>
              <w:rPr>
                <w:color w:val="000000"/>
                <w:sz w:val="20"/>
                <w:szCs w:val="20"/>
              </w:rPr>
            </w:pPr>
          </w:p>
        </w:tc>
        <w:tc>
          <w:tcPr>
            <w:tcW w:w="4575" w:type="dxa"/>
            <w:vMerge w:val="continue"/>
            <w:shd w:val="clear" w:color="auto" w:fill="auto"/>
          </w:tcPr>
          <w:p>
            <w:pPr>
              <w:spacing w:after="0" w:line="240" w:lineRule="auto"/>
              <w:rPr>
                <w:color w:val="000000"/>
                <w:sz w:val="20"/>
                <w:szCs w:val="20"/>
              </w:rPr>
            </w:pPr>
          </w:p>
        </w:tc>
        <w:tc>
          <w:tcPr>
            <w:tcW w:w="852" w:type="dxa"/>
            <w:vMerge w:val="continue"/>
            <w:shd w:val="clear" w:color="auto" w:fill="auto"/>
          </w:tcPr>
          <w:p>
            <w:pPr>
              <w:spacing w:after="0" w:line="240" w:lineRule="auto"/>
              <w:jc w:val="center"/>
              <w:rPr>
                <w:color w:val="000000"/>
                <w:sz w:val="20"/>
                <w:szCs w:val="20"/>
              </w:rPr>
            </w:pPr>
          </w:p>
        </w:tc>
        <w:tc>
          <w:tcPr>
            <w:tcW w:w="4536" w:type="dxa"/>
            <w:shd w:val="clear" w:color="auto" w:fill="auto"/>
          </w:tcPr>
          <w:p>
            <w:pPr>
              <w:spacing w:after="0" w:line="240" w:lineRule="auto"/>
              <w:rPr>
                <w:color w:val="000000"/>
                <w:sz w:val="20"/>
                <w:szCs w:val="20"/>
              </w:rPr>
            </w:pPr>
            <w:r>
              <w:rPr>
                <w:color w:val="000000"/>
                <w:sz w:val="20"/>
                <w:szCs w:val="20"/>
              </w:rPr>
              <w:t>Pemberdayaan CSR</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0"/>
                <w:szCs w:val="20"/>
              </w:rPr>
            </w:pPr>
          </w:p>
        </w:tc>
        <w:tc>
          <w:tcPr>
            <w:tcW w:w="832" w:type="dxa"/>
            <w:shd w:val="clear" w:color="auto" w:fill="auto"/>
          </w:tcPr>
          <w:p>
            <w:pPr>
              <w:spacing w:after="0" w:line="240" w:lineRule="auto"/>
              <w:jc w:val="center"/>
              <w:rPr>
                <w:color w:val="000000"/>
                <w:sz w:val="20"/>
                <w:szCs w:val="20"/>
              </w:rPr>
            </w:pPr>
            <w:r>
              <w:rPr>
                <w:color w:val="000000"/>
                <w:sz w:val="20"/>
                <w:szCs w:val="20"/>
              </w:rPr>
              <w:t>23</w:t>
            </w:r>
          </w:p>
        </w:tc>
        <w:tc>
          <w:tcPr>
            <w:tcW w:w="4575" w:type="dxa"/>
            <w:shd w:val="clear" w:color="auto" w:fill="auto"/>
          </w:tcPr>
          <w:p>
            <w:pPr>
              <w:spacing w:after="0" w:line="240" w:lineRule="auto"/>
              <w:rPr>
                <w:color w:val="000000"/>
                <w:sz w:val="20"/>
                <w:szCs w:val="20"/>
              </w:rPr>
            </w:pPr>
            <w:r>
              <w:rPr>
                <w:color w:val="000000"/>
                <w:sz w:val="20"/>
                <w:szCs w:val="20"/>
              </w:rPr>
              <w:t>Kemajuan teknologi membuat alat cepat obsolete</w:t>
            </w:r>
          </w:p>
        </w:tc>
        <w:tc>
          <w:tcPr>
            <w:tcW w:w="852" w:type="dxa"/>
            <w:shd w:val="clear" w:color="auto" w:fill="auto"/>
          </w:tcPr>
          <w:p>
            <w:pPr>
              <w:spacing w:after="0" w:line="240" w:lineRule="auto"/>
              <w:jc w:val="center"/>
              <w:rPr>
                <w:color w:val="000000"/>
                <w:sz w:val="20"/>
                <w:szCs w:val="20"/>
              </w:rPr>
            </w:pPr>
            <w:r>
              <w:rPr>
                <w:color w:val="000000"/>
                <w:sz w:val="20"/>
                <w:szCs w:val="20"/>
              </w:rPr>
              <w:t>T</w:t>
            </w:r>
          </w:p>
        </w:tc>
        <w:tc>
          <w:tcPr>
            <w:tcW w:w="4536" w:type="dxa"/>
            <w:shd w:val="clear" w:color="auto" w:fill="auto"/>
          </w:tcPr>
          <w:p>
            <w:pPr>
              <w:spacing w:after="0" w:line="240" w:lineRule="auto"/>
              <w:rPr>
                <w:color w:val="000000"/>
                <w:sz w:val="20"/>
                <w:szCs w:val="20"/>
              </w:rPr>
            </w:pPr>
            <w:r>
              <w:rPr>
                <w:color w:val="000000"/>
                <w:sz w:val="20"/>
                <w:szCs w:val="20"/>
              </w:rPr>
              <w:t>Mapping dan pemilihan alat yang akan diadakan (selektif)</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shd w:val="clear" w:color="auto" w:fill="auto"/>
          </w:tcPr>
          <w:p>
            <w:pPr>
              <w:spacing w:after="0" w:line="240" w:lineRule="auto"/>
              <w:rPr>
                <w:b/>
                <w:bCs/>
                <w:color w:val="000000"/>
                <w:sz w:val="20"/>
                <w:szCs w:val="20"/>
              </w:rPr>
            </w:pPr>
            <w:r>
              <w:rPr>
                <w:b/>
                <w:bCs/>
                <w:color w:val="000000"/>
                <w:sz w:val="20"/>
                <w:szCs w:val="20"/>
              </w:rPr>
              <w:t>Terwujudnya kemandirian finansial</w:t>
            </w:r>
          </w:p>
        </w:tc>
        <w:tc>
          <w:tcPr>
            <w:tcW w:w="832" w:type="dxa"/>
            <w:shd w:val="clear" w:color="auto" w:fill="auto"/>
          </w:tcPr>
          <w:p>
            <w:pPr>
              <w:spacing w:after="0" w:line="240" w:lineRule="auto"/>
              <w:jc w:val="center"/>
              <w:rPr>
                <w:color w:val="000000"/>
                <w:sz w:val="20"/>
                <w:szCs w:val="20"/>
              </w:rPr>
            </w:pPr>
            <w:r>
              <w:rPr>
                <w:color w:val="000000"/>
                <w:sz w:val="20"/>
                <w:szCs w:val="20"/>
              </w:rPr>
              <w:t>24</w:t>
            </w:r>
          </w:p>
        </w:tc>
        <w:tc>
          <w:tcPr>
            <w:tcW w:w="4575" w:type="dxa"/>
            <w:shd w:val="clear" w:color="auto" w:fill="auto"/>
          </w:tcPr>
          <w:p>
            <w:pPr>
              <w:spacing w:after="0" w:line="240" w:lineRule="auto"/>
              <w:rPr>
                <w:color w:val="000000"/>
                <w:sz w:val="20"/>
                <w:szCs w:val="20"/>
              </w:rPr>
            </w:pPr>
            <w:r>
              <w:rPr>
                <w:color w:val="000000"/>
                <w:sz w:val="20"/>
                <w:szCs w:val="20"/>
              </w:rPr>
              <w:t xml:space="preserve">Regulasi yang belum mendukung kemandirian finansial </w:t>
            </w:r>
          </w:p>
        </w:tc>
        <w:tc>
          <w:tcPr>
            <w:tcW w:w="852" w:type="dxa"/>
            <w:shd w:val="clear" w:color="auto" w:fill="auto"/>
          </w:tcPr>
          <w:p>
            <w:pPr>
              <w:spacing w:after="0" w:line="240" w:lineRule="auto"/>
              <w:jc w:val="center"/>
              <w:rPr>
                <w:color w:val="000000"/>
                <w:sz w:val="20"/>
                <w:szCs w:val="20"/>
              </w:rPr>
            </w:pPr>
            <w:r>
              <w:rPr>
                <w:color w:val="000000"/>
                <w:sz w:val="20"/>
                <w:szCs w:val="20"/>
              </w:rPr>
              <w:t>E</w:t>
            </w:r>
          </w:p>
        </w:tc>
        <w:tc>
          <w:tcPr>
            <w:tcW w:w="4536" w:type="dxa"/>
            <w:shd w:val="clear" w:color="auto" w:fill="auto"/>
          </w:tcPr>
          <w:p>
            <w:pPr>
              <w:spacing w:after="0" w:line="240" w:lineRule="auto"/>
              <w:rPr>
                <w:color w:val="000000"/>
                <w:sz w:val="20"/>
                <w:szCs w:val="20"/>
              </w:rPr>
            </w:pPr>
            <w:r>
              <w:rPr>
                <w:color w:val="000000"/>
                <w:sz w:val="20"/>
                <w:szCs w:val="20"/>
              </w:rPr>
              <w:t>Advokasi ke Pemerintah</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restart"/>
            <w:shd w:val="clear" w:color="auto" w:fill="auto"/>
          </w:tcPr>
          <w:p>
            <w:pPr>
              <w:spacing w:after="0" w:line="240" w:lineRule="auto"/>
              <w:rPr>
                <w:b/>
                <w:bCs/>
                <w:color w:val="000000"/>
                <w:sz w:val="20"/>
                <w:szCs w:val="20"/>
              </w:rPr>
            </w:pPr>
            <w:r>
              <w:rPr>
                <w:b/>
                <w:bCs/>
                <w:color w:val="000000"/>
                <w:sz w:val="20"/>
                <w:szCs w:val="20"/>
              </w:rPr>
              <w:t>Terwujudnya keuangan yang akuntabel, transparan dan cost-effective</w:t>
            </w:r>
          </w:p>
        </w:tc>
        <w:tc>
          <w:tcPr>
            <w:tcW w:w="832" w:type="dxa"/>
            <w:vMerge w:val="restart"/>
            <w:shd w:val="clear" w:color="auto" w:fill="auto"/>
          </w:tcPr>
          <w:p>
            <w:pPr>
              <w:spacing w:after="0" w:line="240" w:lineRule="auto"/>
              <w:jc w:val="center"/>
              <w:rPr>
                <w:color w:val="000000"/>
                <w:sz w:val="20"/>
                <w:szCs w:val="20"/>
              </w:rPr>
            </w:pPr>
            <w:r>
              <w:rPr>
                <w:color w:val="000000"/>
                <w:sz w:val="20"/>
                <w:szCs w:val="20"/>
              </w:rPr>
              <w:t>25</w:t>
            </w:r>
          </w:p>
        </w:tc>
        <w:tc>
          <w:tcPr>
            <w:tcW w:w="4575" w:type="dxa"/>
            <w:vMerge w:val="restart"/>
            <w:shd w:val="clear" w:color="auto" w:fill="auto"/>
          </w:tcPr>
          <w:p>
            <w:pPr>
              <w:spacing w:after="0" w:line="240" w:lineRule="auto"/>
              <w:rPr>
                <w:color w:val="000000"/>
                <w:sz w:val="20"/>
                <w:szCs w:val="20"/>
              </w:rPr>
            </w:pPr>
            <w:r>
              <w:rPr>
                <w:color w:val="000000"/>
                <w:sz w:val="20"/>
                <w:szCs w:val="20"/>
              </w:rPr>
              <w:t>Kurangnya kompetensi perencanaan dan disiplin anggaran unit kerja</w:t>
            </w:r>
          </w:p>
        </w:tc>
        <w:tc>
          <w:tcPr>
            <w:tcW w:w="852" w:type="dxa"/>
            <w:vMerge w:val="restart"/>
            <w:shd w:val="clear" w:color="auto" w:fill="auto"/>
          </w:tcPr>
          <w:p>
            <w:pPr>
              <w:spacing w:after="0" w:line="240" w:lineRule="auto"/>
              <w:jc w:val="center"/>
              <w:rPr>
                <w:color w:val="000000"/>
                <w:sz w:val="20"/>
                <w:szCs w:val="20"/>
              </w:rPr>
            </w:pPr>
            <w:r>
              <w:rPr>
                <w:color w:val="000000"/>
                <w:sz w:val="20"/>
                <w:szCs w:val="20"/>
              </w:rPr>
              <w:t>T</w:t>
            </w:r>
          </w:p>
        </w:tc>
        <w:tc>
          <w:tcPr>
            <w:tcW w:w="4536" w:type="dxa"/>
            <w:shd w:val="clear" w:color="auto" w:fill="auto"/>
          </w:tcPr>
          <w:p>
            <w:pPr>
              <w:spacing w:after="0" w:line="240" w:lineRule="auto"/>
              <w:rPr>
                <w:color w:val="000000"/>
                <w:sz w:val="20"/>
                <w:szCs w:val="20"/>
              </w:rPr>
            </w:pPr>
            <w:r>
              <w:rPr>
                <w:color w:val="000000"/>
                <w:sz w:val="20"/>
                <w:szCs w:val="20"/>
              </w:rPr>
              <w:t>Workshop dan Cascading Renstra ke Unit Kerja</w:t>
            </w:r>
          </w:p>
        </w:tc>
      </w:tr>
      <w:tr>
        <w:tblPrEx>
          <w:tblBorders>
            <w:top w:val="single" w:color="259073" w:themeColor="accent2" w:sz="4" w:space="0"/>
            <w:left w:val="single" w:color="259073" w:themeColor="accent2" w:sz="4" w:space="0"/>
            <w:bottom w:val="single" w:color="259073" w:themeColor="accent2" w:sz="4" w:space="0"/>
            <w:right w:val="single" w:color="259073" w:themeColor="accent2" w:sz="4" w:space="0"/>
            <w:insideH w:val="single" w:color="259073" w:themeColor="accent2" w:sz="4" w:space="0"/>
            <w:insideV w:val="single" w:color="259073" w:themeColor="accent2" w:sz="4" w:space="0"/>
          </w:tblBorders>
          <w:tblLayout w:type="fixed"/>
          <w:tblCellMar>
            <w:top w:w="0" w:type="dxa"/>
            <w:left w:w="108" w:type="dxa"/>
            <w:bottom w:w="0" w:type="dxa"/>
            <w:right w:w="108" w:type="dxa"/>
          </w:tblCellMar>
        </w:tblPrEx>
        <w:trPr>
          <w:trHeight w:val="79" w:hRule="atLeast"/>
        </w:trPr>
        <w:tc>
          <w:tcPr>
            <w:tcW w:w="2995" w:type="dxa"/>
            <w:vMerge w:val="continue"/>
            <w:shd w:val="clear" w:color="auto" w:fill="auto"/>
          </w:tcPr>
          <w:p>
            <w:pPr>
              <w:spacing w:after="0" w:line="240" w:lineRule="auto"/>
              <w:rPr>
                <w:b/>
                <w:bCs/>
                <w:color w:val="000000"/>
                <w:sz w:val="20"/>
                <w:szCs w:val="20"/>
              </w:rPr>
            </w:pPr>
          </w:p>
        </w:tc>
        <w:tc>
          <w:tcPr>
            <w:tcW w:w="832" w:type="dxa"/>
            <w:vMerge w:val="continue"/>
            <w:shd w:val="clear" w:color="auto" w:fill="auto"/>
          </w:tcPr>
          <w:p>
            <w:pPr>
              <w:spacing w:after="0" w:line="240" w:lineRule="auto"/>
              <w:jc w:val="center"/>
              <w:rPr>
                <w:color w:val="000000"/>
                <w:sz w:val="20"/>
                <w:szCs w:val="20"/>
              </w:rPr>
            </w:pPr>
          </w:p>
        </w:tc>
        <w:tc>
          <w:tcPr>
            <w:tcW w:w="4575" w:type="dxa"/>
            <w:vMerge w:val="continue"/>
            <w:shd w:val="clear" w:color="auto" w:fill="auto"/>
          </w:tcPr>
          <w:p>
            <w:pPr>
              <w:spacing w:after="0" w:line="240" w:lineRule="auto"/>
              <w:rPr>
                <w:color w:val="000000"/>
                <w:sz w:val="20"/>
                <w:szCs w:val="20"/>
              </w:rPr>
            </w:pPr>
          </w:p>
        </w:tc>
        <w:tc>
          <w:tcPr>
            <w:tcW w:w="852" w:type="dxa"/>
            <w:vMerge w:val="continue"/>
            <w:shd w:val="clear" w:color="auto" w:fill="auto"/>
          </w:tcPr>
          <w:p>
            <w:pPr>
              <w:spacing w:after="0" w:line="240" w:lineRule="auto"/>
              <w:jc w:val="center"/>
              <w:rPr>
                <w:color w:val="000000"/>
                <w:sz w:val="20"/>
                <w:szCs w:val="20"/>
              </w:rPr>
            </w:pPr>
          </w:p>
        </w:tc>
        <w:tc>
          <w:tcPr>
            <w:tcW w:w="4536" w:type="dxa"/>
            <w:shd w:val="clear" w:color="auto" w:fill="auto"/>
          </w:tcPr>
          <w:p>
            <w:pPr>
              <w:spacing w:after="0" w:line="240" w:lineRule="auto"/>
              <w:rPr>
                <w:color w:val="000000"/>
                <w:sz w:val="20"/>
                <w:szCs w:val="20"/>
              </w:rPr>
            </w:pPr>
            <w:r>
              <w:rPr>
                <w:color w:val="000000"/>
                <w:sz w:val="20"/>
                <w:szCs w:val="20"/>
              </w:rPr>
              <w:t>Penyempurnaan Sistem Perencanaan</w:t>
            </w:r>
          </w:p>
        </w:tc>
      </w:tr>
    </w:tbl>
    <w:p>
      <w:pPr>
        <w:spacing w:after="0" w:line="240" w:lineRule="auto"/>
      </w:pPr>
      <w:r>
        <w:rPr>
          <w:b/>
          <w:bCs/>
        </w:rPr>
        <w:br w:type="page"/>
      </w:r>
    </w:p>
    <w:p>
      <w:pPr>
        <w:pStyle w:val="2"/>
        <w:rPr>
          <w:lang w:val="id-ID"/>
        </w:rPr>
      </w:pPr>
      <w:bookmarkStart w:id="74" w:name="_Toc431267243"/>
      <w:r>
        <w:t>VI</w:t>
      </w:r>
      <w:r>
        <w:rPr>
          <w:lang w:val="id-ID"/>
        </w:rPr>
        <w:t>I</w:t>
      </w:r>
      <w:r>
        <w:t>. PROYEKSI KEUANGAN</w:t>
      </w:r>
      <w:bookmarkEnd w:id="74"/>
    </w:p>
    <w:p>
      <w:pPr>
        <w:rPr>
          <w:rFonts w:asciiTheme="minorHAnsi" w:hAnsiTheme="minorHAnsi"/>
        </w:rPr>
        <w:sectPr>
          <w:type w:val="continuous"/>
          <w:pgSz w:w="16839" w:h="11907" w:orient="landscape"/>
          <w:pgMar w:top="1440" w:right="1440" w:bottom="1440" w:left="1440" w:header="720" w:footer="965" w:gutter="0"/>
          <w:cols w:space="720" w:num="1"/>
          <w:docGrid w:linePitch="326" w:charSpace="0"/>
        </w:sectPr>
      </w:pPr>
    </w:p>
    <w:p>
      <w:pPr>
        <w:spacing w:after="160" w:line="360" w:lineRule="auto"/>
        <w:ind w:firstLine="709"/>
        <w:jc w:val="both"/>
        <w:rPr>
          <w:rFonts w:asciiTheme="minorHAnsi" w:hAnsiTheme="minorHAnsi"/>
        </w:rPr>
      </w:pPr>
      <w:r>
        <w:rPr>
          <w:rFonts w:asciiTheme="minorHAnsi" w:hAnsiTheme="minorHAnsi"/>
        </w:rPr>
        <w:t>Memperhatikan gambaran kinerja, arah dan prioritas strategis serta analisa dan mitigasi, maka untuk mencapai program kerja strategis RSHS lima tahun ke depan diperlukan dukungan pembiayaan yang memadai.</w:t>
      </w:r>
    </w:p>
    <w:p>
      <w:pPr>
        <w:spacing w:after="160" w:line="360" w:lineRule="auto"/>
        <w:ind w:firstLine="709"/>
        <w:jc w:val="both"/>
        <w:rPr>
          <w:rFonts w:cs="Arial" w:asciiTheme="minorHAnsi" w:hAnsiTheme="minorHAnsi"/>
          <w:b/>
        </w:rPr>
      </w:pPr>
      <w:r>
        <w:rPr>
          <w:rFonts w:cs="Arial" w:asciiTheme="minorHAnsi" w:hAnsiTheme="minorHAnsi"/>
        </w:rPr>
        <w:t>Pada bagian ini, mengambarkan proyeksi keuangan untuk kurun waktu lima tahun ke depan, dari tahun 2015 sampai dengan 2019, dengan base line tahun 2014, yang menjelaskan tentang estimasi pendapatan dan rencana kebutuhan anggaran operasional dan kebutuhan anggaran investasi</w:t>
      </w:r>
      <w:r>
        <w:rPr>
          <w:rFonts w:cs="Arial" w:asciiTheme="minorHAnsi" w:hAnsiTheme="minorHAnsi"/>
          <w:b/>
        </w:rPr>
        <w:t>.</w:t>
      </w:r>
    </w:p>
    <w:p>
      <w:pPr>
        <w:pStyle w:val="3"/>
        <w:ind w:firstLine="709"/>
      </w:pPr>
      <w:bookmarkStart w:id="75" w:name="_Toc431267244"/>
      <w:bookmarkStart w:id="76" w:name="_Toc386980484"/>
      <w:r>
        <w:rPr>
          <w:lang w:val="id-ID"/>
        </w:rPr>
        <w:t>7</w:t>
      </w:r>
      <w:r>
        <w:t>.1 Estimasi Pendapatan</w:t>
      </w:r>
      <w:bookmarkEnd w:id="75"/>
      <w:bookmarkEnd w:id="76"/>
    </w:p>
    <w:p>
      <w:pPr>
        <w:spacing w:after="160" w:line="360" w:lineRule="auto"/>
        <w:ind w:firstLine="709"/>
        <w:jc w:val="both"/>
        <w:rPr>
          <w:rFonts w:cs="Arial" w:asciiTheme="minorHAnsi" w:hAnsiTheme="minorHAnsi"/>
          <w:szCs w:val="24"/>
        </w:rPr>
      </w:pPr>
      <w:r>
        <w:rPr>
          <w:rFonts w:cs="Arial" w:asciiTheme="minorHAnsi" w:hAnsiTheme="minorHAnsi"/>
          <w:szCs w:val="24"/>
          <w:lang w:val="id-ID"/>
        </w:rPr>
        <w:t xml:space="preserve">Prognosa sampai dengan </w:t>
      </w:r>
      <w:r>
        <w:rPr>
          <w:rFonts w:cs="Arial" w:asciiTheme="minorHAnsi" w:hAnsiTheme="minorHAnsi"/>
          <w:szCs w:val="24"/>
        </w:rPr>
        <w:t>Desember</w:t>
      </w:r>
      <w:r>
        <w:rPr>
          <w:rFonts w:cs="Arial" w:asciiTheme="minorHAnsi" w:hAnsiTheme="minorHAnsi"/>
          <w:szCs w:val="24"/>
          <w:lang w:val="id-ID"/>
        </w:rPr>
        <w:t xml:space="preserve"> 201</w:t>
      </w:r>
      <w:r>
        <w:rPr>
          <w:rFonts w:cs="Arial" w:asciiTheme="minorHAnsi" w:hAnsiTheme="minorHAnsi"/>
          <w:szCs w:val="24"/>
        </w:rPr>
        <w:t>4</w:t>
      </w:r>
      <w:r>
        <w:rPr>
          <w:rFonts w:cs="Arial" w:asciiTheme="minorHAnsi" w:hAnsiTheme="minorHAnsi"/>
          <w:szCs w:val="24"/>
          <w:lang w:val="id-ID"/>
        </w:rPr>
        <w:t xml:space="preserve">, </w:t>
      </w:r>
      <w:r>
        <w:rPr>
          <w:rFonts w:cs="Arial" w:asciiTheme="minorHAnsi" w:hAnsiTheme="minorHAnsi"/>
          <w:szCs w:val="24"/>
        </w:rPr>
        <w:t>target</w:t>
      </w:r>
      <w:r>
        <w:rPr>
          <w:rFonts w:cs="Arial" w:asciiTheme="minorHAnsi" w:hAnsiTheme="minorHAnsi"/>
          <w:szCs w:val="24"/>
          <w:lang w:val="id-ID"/>
        </w:rPr>
        <w:t xml:space="preserve"> penerimaan BLU</w:t>
      </w:r>
      <w:r>
        <w:rPr>
          <w:rFonts w:cs="Arial" w:asciiTheme="minorHAnsi" w:hAnsiTheme="minorHAnsi"/>
          <w:szCs w:val="24"/>
        </w:rPr>
        <w:t xml:space="preserve"> sebesar </w:t>
      </w:r>
      <w:r>
        <w:rPr>
          <w:rFonts w:cs="Arial" w:asciiTheme="minorHAnsi" w:hAnsiTheme="minorHAnsi"/>
          <w:szCs w:val="24"/>
          <w:lang w:val="id-ID"/>
        </w:rPr>
        <w:t>Rp.</w:t>
      </w:r>
      <w:r>
        <w:rPr>
          <w:rFonts w:asciiTheme="minorHAnsi" w:hAnsiTheme="minorHAnsi"/>
          <w:b/>
          <w:bCs/>
          <w:color w:val="000000"/>
          <w:szCs w:val="24"/>
        </w:rPr>
        <w:t xml:space="preserve">582.101.723.000 </w:t>
      </w:r>
      <w:r>
        <w:rPr>
          <w:rFonts w:cs="Arial" w:asciiTheme="minorHAnsi" w:hAnsiTheme="minorHAnsi"/>
          <w:szCs w:val="24"/>
        </w:rPr>
        <w:t xml:space="preserve">atau sebesar </w:t>
      </w:r>
      <w:r>
        <w:rPr>
          <w:rFonts w:cs="Arial" w:asciiTheme="minorHAnsi" w:hAnsiTheme="minorHAnsi"/>
          <w:szCs w:val="24"/>
          <w:lang w:val="id-ID"/>
        </w:rPr>
        <w:t>10</w:t>
      </w:r>
      <w:r>
        <w:rPr>
          <w:rFonts w:cs="Arial" w:asciiTheme="minorHAnsi" w:hAnsiTheme="minorHAnsi"/>
          <w:szCs w:val="24"/>
        </w:rPr>
        <w:t>6,15</w:t>
      </w:r>
      <w:r>
        <w:rPr>
          <w:rFonts w:cs="Arial" w:asciiTheme="minorHAnsi" w:hAnsiTheme="minorHAnsi"/>
          <w:szCs w:val="24"/>
          <w:lang w:val="id-ID"/>
        </w:rPr>
        <w:t>% dari</w:t>
      </w:r>
      <w:r>
        <w:rPr>
          <w:rFonts w:cs="Arial" w:asciiTheme="minorHAnsi" w:hAnsiTheme="minorHAnsi"/>
          <w:szCs w:val="24"/>
        </w:rPr>
        <w:t xml:space="preserve"> target </w:t>
      </w:r>
      <w:r>
        <w:rPr>
          <w:rFonts w:cs="Arial" w:asciiTheme="minorHAnsi" w:hAnsiTheme="minorHAnsi"/>
          <w:szCs w:val="24"/>
          <w:lang w:val="id-ID"/>
        </w:rPr>
        <w:t xml:space="preserve">pendapatan RSHS tahun 2013 </w:t>
      </w:r>
      <w:r>
        <w:rPr>
          <w:rFonts w:cs="Arial" w:asciiTheme="minorHAnsi" w:hAnsiTheme="minorHAnsi"/>
          <w:szCs w:val="24"/>
        </w:rPr>
        <w:t xml:space="preserve">yaitu Rp. </w:t>
      </w:r>
      <w:r>
        <w:rPr>
          <w:rFonts w:cs="Arial" w:asciiTheme="minorHAnsi" w:hAnsiTheme="minorHAnsi"/>
          <w:szCs w:val="24"/>
          <w:lang w:val="id-ID"/>
        </w:rPr>
        <w:t>462.878.730.000, sedangkan dari rupiah murni sebesar Rp.</w:t>
      </w:r>
      <w:r>
        <w:rPr>
          <w:rFonts w:asciiTheme="minorHAnsi" w:hAnsiTheme="minorHAnsi"/>
          <w:b/>
          <w:bCs/>
          <w:color w:val="000000"/>
          <w:szCs w:val="24"/>
        </w:rPr>
        <w:t xml:space="preserve"> 164.005.239.000 </w:t>
      </w:r>
      <w:r>
        <w:rPr>
          <w:rFonts w:cs="Arial" w:asciiTheme="minorHAnsi" w:hAnsiTheme="minorHAnsi"/>
          <w:szCs w:val="24"/>
        </w:rPr>
        <w:t xml:space="preserve">atau sebesar 113,88 </w:t>
      </w:r>
      <w:r>
        <w:rPr>
          <w:rFonts w:cs="Arial" w:asciiTheme="minorHAnsi" w:hAnsiTheme="minorHAnsi"/>
          <w:szCs w:val="24"/>
          <w:lang w:val="id-ID"/>
        </w:rPr>
        <w:t>% dari target rupiah murni tahun 2013 Rp.144.045.491.000</w:t>
      </w:r>
      <w:r>
        <w:rPr>
          <w:rFonts w:cs="Arial" w:asciiTheme="minorHAnsi" w:hAnsiTheme="minorHAnsi"/>
          <w:szCs w:val="24"/>
        </w:rPr>
        <w:t>.</w:t>
      </w:r>
    </w:p>
    <w:p>
      <w:pPr>
        <w:spacing w:after="160" w:line="360" w:lineRule="auto"/>
        <w:ind w:firstLine="709"/>
        <w:jc w:val="both"/>
      </w:pPr>
      <w:r>
        <w:rPr>
          <w:rFonts w:cs="Arial" w:asciiTheme="minorHAnsi" w:hAnsiTheme="minorHAnsi"/>
          <w:szCs w:val="24"/>
        </w:rPr>
        <w:t>Estimasi kenaikan pendapatan PNBP-BLU yang didasarkan pada pencapaian kinerja 5 tahun sebelumnya, maka untuk lima tahun selanjutnya dari tahun 2015 sampai dengan tahun 2019 rata-rata dicapai peningkatan pendapatan PNBP sebesar 7%. Pencapaian peningkatan ini belum dapat memenuhi seluruh kebutuhan biaya, khususnya biaya investasi sarana gedung dan alat, sehingga 5 tahun ke depan RSHS masih memerlukan dukungan pemerintah berupa rupiah murni.</w:t>
      </w:r>
      <w:r>
        <w:rPr>
          <w:lang w:val="id-ID"/>
        </w:rPr>
        <w:t>Berdasarkan pencapaian</w:t>
      </w:r>
      <w:r>
        <w:t xml:space="preserve"> tahun 2009-2013 dan prognosa tahun 2014, </w:t>
      </w:r>
      <w:r>
        <w:rPr>
          <w:lang w:val="id-ID"/>
        </w:rPr>
        <w:t xml:space="preserve">maka </w:t>
      </w:r>
      <w:r>
        <w:t>proyeksi pendapatan PNBP dan Rupiah Murni RSHS dari tahun 2015 sampai dengantahun 2019 sebagai berikut :</w:t>
      </w:r>
    </w:p>
    <w:p>
      <w:pPr>
        <w:spacing w:after="160" w:line="360" w:lineRule="auto"/>
        <w:jc w:val="both"/>
        <w:rPr>
          <w:rFonts w:cs="Arial" w:asciiTheme="minorHAnsi" w:hAnsiTheme="minorHAnsi"/>
          <w:szCs w:val="24"/>
        </w:rPr>
        <w:sectPr>
          <w:type w:val="continuous"/>
          <w:pgSz w:w="16839" w:h="11907" w:orient="landscape"/>
          <w:pgMar w:top="1440" w:right="1440" w:bottom="1440" w:left="1440" w:header="720" w:footer="965" w:gutter="0"/>
          <w:pgNumType w:start="96"/>
          <w:cols w:space="720" w:num="1"/>
          <w:docGrid w:linePitch="326" w:charSpace="0"/>
        </w:sectPr>
      </w:pPr>
    </w:p>
    <w:p>
      <w:pPr>
        <w:pStyle w:val="9"/>
        <w:keepNext/>
        <w:rPr>
          <w:lang w:val="id-ID"/>
        </w:rPr>
      </w:pPr>
      <w:bookmarkStart w:id="77" w:name="_Toc386980483"/>
      <w:bookmarkEnd w:id="77"/>
      <w:bookmarkStart w:id="78" w:name="_Toc386980485"/>
      <w:r>
        <w:t>Tabel 7.</w:t>
      </w:r>
      <w:r>
        <w:fldChar w:fldCharType="begin"/>
      </w:r>
      <w:r>
        <w:instrText xml:space="preserve"> SEQ Tabel_7._ \* ARABIC </w:instrText>
      </w:r>
      <w:r>
        <w:fldChar w:fldCharType="separate"/>
      </w:r>
      <w:r>
        <w:t>1</w:t>
      </w:r>
      <w:r>
        <w:fldChar w:fldCharType="end"/>
      </w:r>
      <w:r>
        <w:rPr>
          <w:lang w:val="id-ID"/>
        </w:rPr>
        <w:t xml:space="preserve"> Estimasi pendapatan RSUP. Dr. Hasan Sadikin Bandung periode 2015-2019</w:t>
      </w:r>
    </w:p>
    <w:p>
      <w:pPr>
        <w:keepNext/>
        <w:keepLines/>
        <w:spacing w:line="360" w:lineRule="auto"/>
        <w:jc w:val="both"/>
        <w:outlineLvl w:val="2"/>
        <w:rPr>
          <w:rFonts w:ascii="Arial" w:hAnsi="Arial" w:cs="Arial"/>
          <w:b/>
          <w:bCs/>
          <w:szCs w:val="20"/>
        </w:rPr>
        <w:sectPr>
          <w:type w:val="continuous"/>
          <w:pgSz w:w="16839" w:h="11907" w:orient="landscape"/>
          <w:pgMar w:top="1440" w:right="1440" w:bottom="1440" w:left="1440" w:header="720" w:footer="720" w:gutter="0"/>
          <w:pgNumType w:start="91"/>
          <w:cols w:space="720" w:num="1"/>
          <w:docGrid w:linePitch="360" w:charSpace="0"/>
        </w:sectPr>
      </w:pPr>
    </w:p>
    <w:p>
      <w:pPr>
        <w:pStyle w:val="3"/>
      </w:pPr>
      <w:bookmarkStart w:id="79" w:name="_Toc431267245"/>
      <w:r>
        <w:rPr>
          <w:lang w:val="id-ID"/>
        </w:rPr>
        <w:t>7</w:t>
      </w:r>
      <w:r>
        <w:t>.2 Rencana Kebutuhan Anggaran</w:t>
      </w:r>
      <w:bookmarkEnd w:id="78"/>
      <w:r>
        <w:t xml:space="preserve">  RSHS Tahun 2015-2019</w:t>
      </w:r>
      <w:bookmarkEnd w:id="79"/>
    </w:p>
    <w:p>
      <w:pPr>
        <w:spacing w:line="360" w:lineRule="auto"/>
        <w:ind w:firstLine="709"/>
        <w:jc w:val="both"/>
        <w:rPr>
          <w:rFonts w:cs="Arial" w:asciiTheme="minorHAnsi" w:hAnsiTheme="minorHAnsi"/>
          <w:color w:val="000000"/>
        </w:rPr>
      </w:pPr>
      <w:r>
        <w:rPr>
          <w:rFonts w:cs="Arial" w:asciiTheme="minorHAnsi" w:hAnsiTheme="minorHAnsi"/>
          <w:color w:val="000000"/>
        </w:rPr>
        <w:t xml:space="preserve">Berdasarkan rencana kegiatan yang diuraikan pada bab sebelumnya selama lima tahun, maka dapat diuraikan lebih rinci dalam Rencana kebutuhan anggaran yang dibedakan atas anggaran program kelangsungan operasional dan anggaran program pengembangan. </w:t>
      </w:r>
    </w:p>
    <w:p>
      <w:pPr>
        <w:spacing w:line="360" w:lineRule="auto"/>
        <w:ind w:firstLine="709"/>
        <w:jc w:val="both"/>
        <w:rPr>
          <w:rFonts w:cs="Arial" w:asciiTheme="minorHAnsi" w:hAnsiTheme="minorHAnsi"/>
          <w:color w:val="000000"/>
        </w:rPr>
      </w:pPr>
      <w:r>
        <w:rPr>
          <w:rFonts w:cs="Arial" w:asciiTheme="minorHAnsi" w:hAnsiTheme="minorHAnsi"/>
          <w:color w:val="000000"/>
        </w:rPr>
        <w:t xml:space="preserve">Anggaran program kelangsungan operasional RSHS, menggambarkan perkembangan kebutuhan operasional selama lima tahun. Biaya operasional ini terdiri dari belanja pegawai, belanja barang dan jasa, yang dibiayai sebagian besar dari PNBP dan sebagian kecil dari rupiah murni (RM) </w:t>
      </w:r>
    </w:p>
    <w:p>
      <w:pPr>
        <w:spacing w:line="360" w:lineRule="auto"/>
        <w:ind w:firstLine="709"/>
        <w:jc w:val="both"/>
        <w:rPr>
          <w:rFonts w:cs="Arial" w:asciiTheme="minorHAnsi" w:hAnsiTheme="minorHAnsi"/>
          <w:color w:val="000000"/>
        </w:rPr>
      </w:pPr>
      <w:r>
        <w:rPr>
          <w:rFonts w:cs="Arial" w:asciiTheme="minorHAnsi" w:hAnsiTheme="minorHAnsi"/>
          <w:color w:val="000000"/>
        </w:rPr>
        <w:t xml:space="preserve">Anggaran program pengembangan, menggambarkan kebutuhan investasi, untuk memenuhi kebutuhan akan sarana, prasarana dan alat selama lima tahun ke depan, yang masih memerlukan dukungan dana dari rupiah murni. Kebutuhan ini telah mempertimbangkan Rencana strategis, </w:t>
      </w:r>
      <w:r>
        <w:rPr>
          <w:rFonts w:cs="Arial" w:asciiTheme="minorHAnsi" w:hAnsiTheme="minorHAnsi"/>
          <w:i/>
          <w:color w:val="000000"/>
        </w:rPr>
        <w:t>Master Plan</w:t>
      </w:r>
      <w:r>
        <w:rPr>
          <w:rFonts w:cs="Arial" w:asciiTheme="minorHAnsi" w:hAnsiTheme="minorHAnsi"/>
          <w:color w:val="000000"/>
        </w:rPr>
        <w:t xml:space="preserve"> Gedung dan </w:t>
      </w:r>
      <w:r>
        <w:rPr>
          <w:rFonts w:cs="Arial" w:asciiTheme="minorHAnsi" w:hAnsiTheme="minorHAnsi"/>
          <w:i/>
          <w:color w:val="000000"/>
        </w:rPr>
        <w:t>Master Plan</w:t>
      </w:r>
      <w:r>
        <w:rPr>
          <w:rFonts w:cs="Arial" w:asciiTheme="minorHAnsi" w:hAnsiTheme="minorHAnsi"/>
          <w:color w:val="000000"/>
        </w:rPr>
        <w:t xml:space="preserve"> IT</w:t>
      </w:r>
    </w:p>
    <w:p>
      <w:pPr>
        <w:rPr>
          <w:b/>
        </w:rPr>
      </w:pPr>
      <w:r>
        <w:rPr>
          <w:b/>
        </w:rPr>
        <w:t xml:space="preserve">a. Anggaran Program Kelangsungan Operasional </w:t>
      </w:r>
    </w:p>
    <w:p>
      <w:pPr>
        <w:spacing w:line="360" w:lineRule="auto"/>
        <w:ind w:firstLine="709"/>
        <w:jc w:val="both"/>
        <w:rPr>
          <w:rFonts w:cs="Arial" w:asciiTheme="minorHAnsi" w:hAnsiTheme="minorHAnsi"/>
          <w:color w:val="000000"/>
        </w:rPr>
      </w:pPr>
      <w:r>
        <w:rPr>
          <w:rFonts w:cs="Arial" w:asciiTheme="minorHAnsi" w:hAnsiTheme="minorHAnsi"/>
          <w:color w:val="000000"/>
        </w:rPr>
        <w:t xml:space="preserve">Anggaran program kelangsungan operasional ditujukan untuk menjaga kegiatan operasional yang tidak dapat ditangguhkan. Anggaran program kelangsungan operasional disusun berdasarkan jenis pembiayaan dan ditentukan estimasi besarannya per tahun. Estimasi belanja program kelangsungan operasional RSHS tahun 2015-2019, dapat dilihat pada tabel </w:t>
      </w:r>
      <w:r>
        <w:rPr>
          <w:rFonts w:cs="Arial" w:asciiTheme="minorHAnsi" w:hAnsiTheme="minorHAnsi"/>
          <w:color w:val="000000"/>
          <w:lang w:val="id-ID"/>
        </w:rPr>
        <w:t>7</w:t>
      </w:r>
      <w:r>
        <w:rPr>
          <w:rFonts w:cs="Arial" w:asciiTheme="minorHAnsi" w:hAnsiTheme="minorHAnsi"/>
          <w:color w:val="000000"/>
        </w:rPr>
        <w:t xml:space="preserve">.2.  </w:t>
      </w:r>
    </w:p>
    <w:p>
      <w:pPr>
        <w:rPr>
          <w:rFonts w:cs="Calibri"/>
          <w:color w:val="000000"/>
          <w:sz w:val="22"/>
        </w:rPr>
        <w:sectPr>
          <w:pgSz w:w="16839" w:h="11907" w:orient="landscape"/>
          <w:pgMar w:top="1440" w:right="1440" w:bottom="1440" w:left="1440" w:header="720" w:footer="720" w:gutter="0"/>
          <w:cols w:space="720" w:num="1"/>
          <w:docGrid w:linePitch="360" w:charSpace="0"/>
        </w:sectPr>
      </w:pPr>
    </w:p>
    <w:p>
      <w:pPr>
        <w:pStyle w:val="9"/>
        <w:keepNext/>
        <w:sectPr>
          <w:pgSz w:w="16839" w:h="11907" w:orient="landscape"/>
          <w:pgMar w:top="1440" w:right="1440" w:bottom="1440" w:left="1440" w:header="720" w:footer="720" w:gutter="0"/>
          <w:cols w:space="720" w:num="1"/>
          <w:docGrid w:linePitch="360" w:charSpace="0"/>
        </w:sectPr>
      </w:pPr>
    </w:p>
    <w:p>
      <w:pPr>
        <w:pStyle w:val="3"/>
      </w:pPr>
      <w:bookmarkStart w:id="80" w:name="_Toc386980486"/>
      <w:bookmarkStart w:id="81" w:name="_Toc431267246"/>
      <w:r>
        <w:rPr>
          <w:lang w:val="id-ID"/>
        </w:rPr>
        <w:t>7</w:t>
      </w:r>
      <w:r>
        <w:t>.3 Rencana Pendanaan</w:t>
      </w:r>
      <w:bookmarkEnd w:id="80"/>
      <w:bookmarkEnd w:id="81"/>
    </w:p>
    <w:p>
      <w:pPr>
        <w:spacing w:line="360" w:lineRule="auto"/>
        <w:ind w:firstLine="709"/>
        <w:jc w:val="both"/>
        <w:rPr>
          <w:rFonts w:cs="Arial" w:asciiTheme="minorHAnsi" w:hAnsiTheme="minorHAnsi"/>
          <w:color w:val="000000"/>
        </w:rPr>
      </w:pPr>
      <w:r>
        <w:rPr>
          <w:rFonts w:cs="Arial" w:asciiTheme="minorHAnsi" w:hAnsiTheme="minorHAnsi"/>
          <w:color w:val="000000"/>
        </w:rPr>
        <w:t>Rencana pendanaan disusun dengan terlebih dahulu membandingkan pendapatan (butir 6.1) dan anggaran pengeluaran (butir 6.2). Melalui perbandingan ini dapat diketahui posisi keuangan UPT vertikal serta rencana pendanaanya (terutama jika proyeksi anggaran melebihi proyeksi pendapatan). Dalam bagian ini juga perlu disampaikan tingkat prioritas untuk masing-masing program kerja strategis, sebagai antisipasi jika estimasi pendapatan tidak tercapai.</w:t>
      </w:r>
    </w:p>
    <w:p>
      <w:pPr>
        <w:spacing w:line="360" w:lineRule="auto"/>
        <w:ind w:firstLine="709"/>
        <w:jc w:val="both"/>
        <w:rPr>
          <w:rFonts w:cs="Arial" w:asciiTheme="minorHAnsi" w:hAnsiTheme="minorHAnsi"/>
          <w:color w:val="000000"/>
        </w:rPr>
      </w:pPr>
    </w:p>
    <w:p>
      <w:pPr>
        <w:spacing w:line="360" w:lineRule="auto"/>
        <w:ind w:firstLine="709"/>
        <w:jc w:val="both"/>
        <w:rPr>
          <w:rFonts w:cs="Arial" w:asciiTheme="minorHAnsi" w:hAnsiTheme="minorHAnsi"/>
          <w:color w:val="000000"/>
        </w:rPr>
      </w:pPr>
      <w:r>
        <w:rPr>
          <w:rFonts w:cs="Arial" w:asciiTheme="minorHAnsi" w:hAnsiTheme="minorHAnsi"/>
          <w:color w:val="000000"/>
        </w:rPr>
        <w:t>Rencana penganggaran tahun 2015 sd 2019 dari pendapatan operasional/PNBP-BLU, maka pendapatan diprioritakan untuk pemenuhan belanja operasional dan aset lancar yang digunakan secara langsung untuk pelayanan dan sebagian investasi pemenuhan alkes dasar lebih selektif. Pendapatan dari rupiah murni difokuskan untuk belanja pegawai (PNS) dan operasional perkantoran serta investasi yang memerlukan dana yang cukup besar untuk pemenuhan standard pelayanan.</w:t>
      </w:r>
    </w:p>
    <w:p>
      <w:pPr>
        <w:spacing w:line="360" w:lineRule="auto"/>
        <w:ind w:firstLine="709"/>
        <w:jc w:val="both"/>
        <w:rPr>
          <w:rFonts w:cs="Arial" w:asciiTheme="minorHAnsi" w:hAnsiTheme="minorHAnsi"/>
          <w:color w:val="000000"/>
        </w:rPr>
      </w:pPr>
      <w:r>
        <w:rPr>
          <w:rFonts w:cs="Arial" w:asciiTheme="minorHAnsi" w:hAnsiTheme="minorHAnsi"/>
          <w:color w:val="000000"/>
        </w:rPr>
        <w:t>Bila pendapatan PNBP-BLU, tidak mencapai target, maka akan menurunkan alokasi investasi, dan belanja pegawai  terutama remunerasi.</w:t>
      </w:r>
    </w:p>
    <w:p>
      <w:pPr>
        <w:spacing w:line="360" w:lineRule="auto"/>
        <w:ind w:firstLine="709"/>
        <w:jc w:val="both"/>
        <w:rPr>
          <w:rFonts w:cs="Arial" w:asciiTheme="minorHAnsi" w:hAnsiTheme="minorHAnsi"/>
          <w:color w:val="000000"/>
        </w:rPr>
      </w:pPr>
      <w:r>
        <w:rPr>
          <w:rFonts w:cs="Arial" w:asciiTheme="minorHAnsi" w:hAnsiTheme="minorHAnsi"/>
          <w:color w:val="000000"/>
        </w:rPr>
        <w:t>Bila belanja investasi dari rupiah murni, tidak sesuai dengan perencanaan, maka RS akan mereviu kembali rencana implementsi master plan. Dan investasi alat medis bersifat life saving dan memerlukan dana besar  akan dilakukan dengan cara Kerjasama Operasional (KSO) dengan pihak ke III.</w:t>
      </w:r>
    </w:p>
    <w:p>
      <w:pPr>
        <w:spacing w:line="360" w:lineRule="auto"/>
        <w:jc w:val="both"/>
        <w:sectPr>
          <w:footerReference r:id="rId12" w:type="even"/>
          <w:pgSz w:w="16839" w:h="11907" w:orient="landscape"/>
          <w:pgMar w:top="1440" w:right="1440" w:bottom="1440" w:left="1440" w:header="720" w:footer="328" w:gutter="0"/>
          <w:cols w:space="720" w:num="1"/>
          <w:docGrid w:linePitch="360" w:charSpace="0"/>
        </w:sectPr>
      </w:pPr>
    </w:p>
    <w:p>
      <w:pPr>
        <w:pStyle w:val="2"/>
        <w:pageBreakBefore w:val="0"/>
        <w:pBdr>
          <w:bottom w:val="single" w:color="EBCC6E" w:sz="4" w:space="0"/>
        </w:pBdr>
        <w:spacing w:line="240" w:lineRule="auto"/>
      </w:pPr>
      <w:bookmarkStart w:id="82" w:name="_Toc431267247"/>
      <w:r>
        <w:t>LAMPIRAN KAMUS KPI</w:t>
      </w:r>
      <w:bookmarkEnd w:id="82"/>
    </w:p>
    <w:tbl>
      <w:tblPr>
        <w:tblStyle w:val="26"/>
        <w:tblW w:w="15771" w:type="dxa"/>
        <w:jc w:val="center"/>
        <w:tblInd w:w="0" w:type="dxa"/>
        <w:tblLayout w:type="fixed"/>
        <w:tblCellMar>
          <w:top w:w="0" w:type="dxa"/>
          <w:left w:w="108" w:type="dxa"/>
          <w:bottom w:w="0" w:type="dxa"/>
          <w:right w:w="108" w:type="dxa"/>
        </w:tblCellMar>
      </w:tblPr>
      <w:tblGrid>
        <w:gridCol w:w="266"/>
        <w:gridCol w:w="1824"/>
        <w:gridCol w:w="283"/>
        <w:gridCol w:w="1025"/>
        <w:gridCol w:w="141"/>
        <w:gridCol w:w="91"/>
        <w:gridCol w:w="14"/>
        <w:gridCol w:w="572"/>
        <w:gridCol w:w="84"/>
        <w:gridCol w:w="57"/>
        <w:gridCol w:w="122"/>
        <w:gridCol w:w="52"/>
        <w:gridCol w:w="43"/>
        <w:gridCol w:w="402"/>
        <w:gridCol w:w="231"/>
        <w:gridCol w:w="27"/>
        <w:gridCol w:w="90"/>
        <w:gridCol w:w="200"/>
        <w:gridCol w:w="85"/>
        <w:gridCol w:w="160"/>
        <w:gridCol w:w="290"/>
        <w:gridCol w:w="32"/>
        <w:gridCol w:w="100"/>
        <w:gridCol w:w="453"/>
        <w:gridCol w:w="69"/>
        <w:gridCol w:w="53"/>
        <w:gridCol w:w="241"/>
        <w:gridCol w:w="460"/>
        <w:gridCol w:w="72"/>
        <w:gridCol w:w="140"/>
        <w:gridCol w:w="108"/>
        <w:gridCol w:w="14"/>
        <w:gridCol w:w="140"/>
        <w:gridCol w:w="114"/>
        <w:gridCol w:w="46"/>
        <w:gridCol w:w="140"/>
        <w:gridCol w:w="128"/>
        <w:gridCol w:w="140"/>
        <w:gridCol w:w="1315"/>
        <w:gridCol w:w="283"/>
        <w:gridCol w:w="67"/>
        <w:gridCol w:w="140"/>
        <w:gridCol w:w="143"/>
        <w:gridCol w:w="140"/>
        <w:gridCol w:w="434"/>
        <w:gridCol w:w="120"/>
        <w:gridCol w:w="175"/>
        <w:gridCol w:w="91"/>
        <w:gridCol w:w="140"/>
        <w:gridCol w:w="126"/>
        <w:gridCol w:w="262"/>
        <w:gridCol w:w="166"/>
        <w:gridCol w:w="74"/>
        <w:gridCol w:w="178"/>
        <w:gridCol w:w="154"/>
        <w:gridCol w:w="252"/>
        <w:gridCol w:w="72"/>
        <w:gridCol w:w="100"/>
        <w:gridCol w:w="124"/>
        <w:gridCol w:w="54"/>
        <w:gridCol w:w="321"/>
        <w:gridCol w:w="166"/>
        <w:gridCol w:w="168"/>
        <w:gridCol w:w="44"/>
        <w:gridCol w:w="237"/>
        <w:gridCol w:w="322"/>
        <w:gridCol w:w="389"/>
        <w:gridCol w:w="100"/>
        <w:gridCol w:w="14"/>
        <w:gridCol w:w="148"/>
        <w:gridCol w:w="22"/>
        <w:gridCol w:w="78"/>
        <w:gridCol w:w="13"/>
        <w:gridCol w:w="361"/>
        <w:gridCol w:w="262"/>
        <w:gridCol w:w="7"/>
      </w:tblGrid>
      <w:tr>
        <w:tblPrEx>
          <w:tblLayout w:type="fixed"/>
          <w:tblCellMar>
            <w:top w:w="0" w:type="dxa"/>
            <w:left w:w="108" w:type="dxa"/>
            <w:bottom w:w="0" w:type="dxa"/>
            <w:right w:w="108" w:type="dxa"/>
          </w:tblCellMar>
        </w:tblPrEx>
        <w:trPr>
          <w:trHeight w:val="20" w:hRule="atLeast"/>
          <w:jc w:val="center"/>
        </w:trPr>
        <w:tc>
          <w:tcPr>
            <w:tcW w:w="7941" w:type="dxa"/>
            <w:gridSpan w:val="33"/>
            <w:tcBorders>
              <w:bottom w:val="single" w:color="1F497D" w:sz="4" w:space="0"/>
            </w:tcBorders>
            <w:shd w:val="clear" w:color="auto" w:fill="EBCC6E"/>
            <w:vAlign w:val="center"/>
          </w:tcPr>
          <w:p>
            <w:pPr>
              <w:pStyle w:val="40"/>
              <w:tabs>
                <w:tab w:val="left" w:pos="4678"/>
              </w:tabs>
              <w:spacing w:before="40"/>
              <w:rPr>
                <w:rFonts w:eastAsia="Times New Roman"/>
                <w:lang w:val="sv-SE"/>
              </w:rPr>
            </w:pPr>
            <w:bookmarkStart w:id="83" w:name="_Toc281421962"/>
            <w:r>
              <w:t>K</w:t>
            </w:r>
            <w:r>
              <w:rPr>
                <w:rFonts w:eastAsia="Times New Roman"/>
                <w:lang w:val="sv-SE"/>
              </w:rPr>
              <w:t>PI-1</w:t>
            </w:r>
            <w:bookmarkEnd w:id="83"/>
            <w:r>
              <w:rPr>
                <w:rFonts w:eastAsia="Times New Roman"/>
                <w:lang w:val="sv-SE"/>
              </w:rPr>
              <w:t xml:space="preserve">. </w:t>
            </w:r>
            <w:r>
              <w:rPr>
                <w:rFonts w:cs="Arial"/>
                <w:color w:val="000000"/>
              </w:rPr>
              <w:t>Angka Kematian Ibu (AKI)-Maternal Mortality Ratio (MMR)</w:t>
            </w:r>
          </w:p>
        </w:tc>
        <w:tc>
          <w:tcPr>
            <w:tcW w:w="300" w:type="dxa"/>
            <w:gridSpan w:val="3"/>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530" w:type="dxa"/>
            <w:gridSpan w:val="40"/>
            <w:tcBorders>
              <w:bottom w:val="single" w:color="1F497D" w:sz="4" w:space="0"/>
            </w:tcBorders>
            <w:shd w:val="clear" w:color="auto" w:fill="EBCC6E"/>
          </w:tcPr>
          <w:p>
            <w:pPr>
              <w:pStyle w:val="40"/>
              <w:tabs>
                <w:tab w:val="left" w:pos="4678"/>
              </w:tabs>
              <w:spacing w:before="40"/>
            </w:pPr>
            <w:bookmarkStart w:id="84" w:name="_Toc281421963"/>
            <w:r>
              <w:t xml:space="preserve">KPI-2. </w:t>
            </w:r>
            <w:bookmarkEnd w:id="84"/>
            <w:r>
              <w:rPr>
                <w:rFonts w:cs="Arial"/>
                <w:color w:val="000000"/>
              </w:rPr>
              <w:t xml:space="preserve">Angka Kematian Neonatal (AKND) </w:t>
            </w:r>
          </w:p>
        </w:tc>
      </w:tr>
      <w:tr>
        <w:tblPrEx>
          <w:tblLayout w:type="fixed"/>
          <w:tblCellMar>
            <w:top w:w="0" w:type="dxa"/>
            <w:left w:w="108" w:type="dxa"/>
            <w:bottom w:w="0" w:type="dxa"/>
            <w:right w:w="108" w:type="dxa"/>
          </w:tblCellMar>
        </w:tblPrEx>
        <w:trPr>
          <w:gridAfter w:val="1"/>
          <w:wAfter w:w="7" w:type="dxa"/>
          <w:trHeight w:val="7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5306" w:type="dxa"/>
            <w:gridSpan w:val="27"/>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3"/>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05" w:type="dxa"/>
            <w:gridSpan w:val="4"/>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4905" w:type="dxa"/>
            <w:gridSpan w:val="30"/>
            <w:tcBorders>
              <w:top w:val="single" w:color="1F497D" w:sz="4" w:space="0"/>
            </w:tcBorders>
          </w:tcPr>
          <w:p>
            <w:pPr>
              <w:tabs>
                <w:tab w:val="left" w:pos="4678"/>
              </w:tabs>
              <w:spacing w:after="0" w:line="240" w:lineRule="auto"/>
              <w:rPr>
                <w:rFonts w:cs="Calibri"/>
                <w:b/>
                <w:bCs/>
                <w:color w:val="000000"/>
                <w:sz w:val="4"/>
                <w:szCs w:val="10"/>
              </w:rPr>
            </w:pPr>
          </w:p>
        </w:tc>
        <w:tc>
          <w:tcPr>
            <w:tcW w:w="26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1"/>
          <w:wAfter w:w="7"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71"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35"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45"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67"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488"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60"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960"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923"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937"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125" w:type="dxa"/>
            <w:gridSpan w:val="8"/>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ascii="Times New Roman" w:hAnsi="Times New Roman"/>
                <w:color w:val="000000"/>
                <w:sz w:val="2"/>
                <w:szCs w:val="2"/>
              </w:rPr>
            </w:pPr>
          </w:p>
        </w:tc>
        <w:tc>
          <w:tcPr>
            <w:tcW w:w="283" w:type="dxa"/>
          </w:tcPr>
          <w:p>
            <w:pPr>
              <w:tabs>
                <w:tab w:val="left" w:pos="4678"/>
              </w:tabs>
              <w:spacing w:after="0" w:line="240" w:lineRule="auto"/>
              <w:rPr>
                <w:rFonts w:ascii="Times New Roman" w:hAnsi="Times New Roman"/>
                <w:color w:val="000000"/>
                <w:sz w:val="2"/>
                <w:szCs w:val="2"/>
              </w:rPr>
            </w:pPr>
          </w:p>
        </w:tc>
        <w:tc>
          <w:tcPr>
            <w:tcW w:w="1271"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p>
        </w:tc>
        <w:tc>
          <w:tcPr>
            <w:tcW w:w="835"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p>
        </w:tc>
        <w:tc>
          <w:tcPr>
            <w:tcW w:w="845"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p>
        </w:tc>
        <w:tc>
          <w:tcPr>
            <w:tcW w:w="867"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p>
        </w:tc>
        <w:tc>
          <w:tcPr>
            <w:tcW w:w="1488"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lang w:val="id-ID"/>
              </w:rPr>
            </w:pPr>
            <w:r>
              <w:rPr>
                <w:rFonts w:cs="Calibri"/>
                <w:i/>
                <w:iCs/>
                <w:color w:val="000000"/>
                <w:sz w:val="20"/>
                <w:szCs w:val="20"/>
                <w:lang w:val="id-ID"/>
              </w:rPr>
              <w:t>Stakeholder</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lang w:val="id-ID"/>
              </w:rPr>
              <w:t>Stakeholder</w:t>
            </w:r>
          </w:p>
        </w:tc>
        <w:tc>
          <w:tcPr>
            <w:tcW w:w="262"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4905" w:type="dxa"/>
            <w:gridSpan w:val="30"/>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peningkatan indikator kesehatan Jawa Barat</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lang w:val="sv-SE"/>
              </w:rPr>
              <w:t>Terwujudnya peningkatan indikator kesehatan Jawa Barat</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3"/>
                <w:szCs w:val="3"/>
              </w:rPr>
            </w:pPr>
          </w:p>
        </w:tc>
        <w:tc>
          <w:tcPr>
            <w:tcW w:w="283" w:type="dxa"/>
          </w:tcPr>
          <w:p>
            <w:pPr>
              <w:tabs>
                <w:tab w:val="left" w:pos="4678"/>
              </w:tabs>
              <w:spacing w:after="0" w:line="240" w:lineRule="auto"/>
              <w:jc w:val="center"/>
              <w:rPr>
                <w:rFonts w:cs="Calibri"/>
                <w:b/>
                <w:bCs/>
                <w:color w:val="000000"/>
                <w:sz w:val="2"/>
                <w:szCs w:val="2"/>
              </w:rPr>
            </w:pPr>
          </w:p>
        </w:tc>
        <w:tc>
          <w:tcPr>
            <w:tcW w:w="5306" w:type="dxa"/>
            <w:gridSpan w:val="2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905" w:type="dxa"/>
            <w:gridSpan w:val="30"/>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Angka Kematian Ibu (AKI</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 xml:space="preserve">Angka Kematian Bayi (AKB) </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23"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37"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125" w:type="dxa"/>
            <w:gridSpan w:val="8"/>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AKI merupakan indikator yang menggambarkan kapasitas suatu sistem kesehatan untuk menyelenggarakan pelayanan kesehatan yang efektif yang ditujukan untuk mencegah dan mengatasi berbagai komplikasi yang terjadi selama kehamilan, persalinan dan nifas. AKI adalah suatu indikator dampak yang secara umum sering digunakan sebagai tolok ukur hasil pembangunan kesehatan.</w:t>
            </w:r>
          </w:p>
          <w:p>
            <w:pPr>
              <w:tabs>
                <w:tab w:val="left" w:pos="4678"/>
              </w:tabs>
              <w:spacing w:after="0" w:line="240" w:lineRule="auto"/>
              <w:jc w:val="both"/>
              <w:rPr>
                <w:rFonts w:cs="Calibri"/>
                <w:color w:val="000000"/>
                <w:sz w:val="20"/>
                <w:szCs w:val="20"/>
                <w:lang w:val="sv-SE"/>
              </w:rPr>
            </w:pP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 xml:space="preserve">AKND terkait Pelayanan Antepartum, Intrapartum dan Tatalaksana </w:t>
            </w:r>
            <w:r>
              <w:rPr>
                <w:rFonts w:cs="Arial"/>
                <w:i/>
                <w:sz w:val="20"/>
                <w:szCs w:val="20"/>
              </w:rPr>
              <w:t>the First Golden Week.</w:t>
            </w:r>
          </w:p>
          <w:p>
            <w:pPr>
              <w:tabs>
                <w:tab w:val="left" w:pos="4678"/>
              </w:tabs>
              <w:spacing w:after="0" w:line="240" w:lineRule="auto"/>
              <w:jc w:val="both"/>
              <w:rPr>
                <w:rFonts w:cs="Arial"/>
                <w:sz w:val="20"/>
                <w:szCs w:val="20"/>
              </w:rPr>
            </w:pPr>
            <w:r>
              <w:rPr>
                <w:rFonts w:cs="Arial"/>
                <w:sz w:val="20"/>
                <w:szCs w:val="20"/>
              </w:rPr>
              <w:t>AKND mencakup 2/3 Angka Kematian Neonatal (AKN)</w:t>
            </w:r>
          </w:p>
          <w:p>
            <w:pPr>
              <w:tabs>
                <w:tab w:val="left" w:pos="4678"/>
              </w:tabs>
              <w:spacing w:after="0" w:line="240" w:lineRule="auto"/>
              <w:jc w:val="both"/>
              <w:rPr>
                <w:rFonts w:cs="Arial"/>
                <w:sz w:val="20"/>
                <w:szCs w:val="20"/>
              </w:rPr>
            </w:pPr>
            <w:r>
              <w:rPr>
                <w:rFonts w:cs="Arial"/>
                <w:sz w:val="20"/>
                <w:szCs w:val="20"/>
              </w:rPr>
              <w:t>AKN mencakup 2/3 Angka Kematian Bayi (AKB)</w:t>
            </w:r>
          </w:p>
          <w:p>
            <w:pPr>
              <w:tabs>
                <w:tab w:val="left" w:pos="4678"/>
              </w:tabs>
              <w:spacing w:after="0" w:line="240" w:lineRule="auto"/>
              <w:jc w:val="both"/>
              <w:rPr>
                <w:rFonts w:cs="Calibri"/>
                <w:color w:val="FF0000"/>
                <w:sz w:val="20"/>
                <w:szCs w:val="20"/>
                <w:lang w:val="id-ID"/>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7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asciiTheme="minorHAnsi" w:hAnsiTheme="minorHAnsi"/>
                <w:color w:val="000000"/>
                <w:sz w:val="20"/>
                <w:szCs w:val="20"/>
              </w:rPr>
            </w:pPr>
            <w:r>
              <w:rPr>
                <w:rFonts w:cs="Arial" w:asciiTheme="minorHAnsi" w:hAnsiTheme="minorHAnsi"/>
                <w:sz w:val="20"/>
                <w:szCs w:val="20"/>
              </w:rPr>
              <w:t>(Jumlah kematian ibu yang diakibatkan oleh berbagai penyebab yang berhubungan atau diperberat dengan kehamilan, persalinan atau nifas dalam satu periode per jumlah kelahiran hidup dalam periode yang sama) x 100.000</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Jumlah kematian bayi usia 0-7 hari per 1.000 kelahiran hidup</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asciiTheme="minorHAnsi" w:hAnsiTheme="minorHAnsi"/>
                <w:color w:val="000000"/>
                <w:sz w:val="20"/>
                <w:szCs w:val="20"/>
              </w:rPr>
            </w:pPr>
            <w:r>
              <w:rPr>
                <w:rFonts w:cs="Arial" w:asciiTheme="minorHAnsi" w:hAnsiTheme="minorHAnsi"/>
                <w:sz w:val="20"/>
                <w:szCs w:val="20"/>
              </w:rPr>
              <w:t>Tim PONEK, Divisi Obstetri Sosial SMF Obgyn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asciiTheme="minorHAnsi" w:hAnsiTheme="minorHAnsi"/>
                <w:color w:val="000000"/>
                <w:sz w:val="20"/>
                <w:szCs w:val="20"/>
              </w:rPr>
            </w:pPr>
            <w:r>
              <w:rPr>
                <w:rFonts w:cs="Arial" w:asciiTheme="minorHAnsi" w:hAnsiTheme="minorHAnsi"/>
                <w:sz w:val="20"/>
                <w:szCs w:val="20"/>
              </w:rPr>
              <w:t>SMF Ilmu Kesehatan Anak, Tim PONEK</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5306" w:type="dxa"/>
            <w:gridSpan w:val="2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905" w:type="dxa"/>
            <w:gridSpan w:val="30"/>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asciiTheme="minorHAnsi" w:hAnsiTheme="minorHAnsi"/>
                <w:color w:val="000000"/>
                <w:sz w:val="20"/>
                <w:szCs w:val="20"/>
              </w:rPr>
            </w:pPr>
            <w:r>
              <w:rPr>
                <w:rFonts w:cs="Arial" w:asciiTheme="minorHAnsi" w:hAnsiTheme="minorHAnsi"/>
                <w:sz w:val="20"/>
                <w:szCs w:val="20"/>
              </w:rPr>
              <w:t>Rekam Medik, Data Divisi Obtetri Sosial</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asciiTheme="minorHAnsi" w:hAnsiTheme="minorHAnsi"/>
                <w:b/>
                <w:color w:val="000000"/>
                <w:sz w:val="20"/>
                <w:szCs w:val="20"/>
              </w:rPr>
            </w:pPr>
            <w:r>
              <w:rPr>
                <w:rFonts w:cs="Arial" w:asciiTheme="minorHAnsi" w:hAnsiTheme="minorHAnsi"/>
                <w:sz w:val="20"/>
                <w:szCs w:val="20"/>
              </w:rPr>
              <w:t>Rekam Medik, Data Divisi Neonatologi SMF Ilmu Kesehatan Anak, Tim PONEK</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18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06"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905"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Tahunan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auto" w:sz="4" w:space="0"/>
            </w:tcBorders>
          </w:tcPr>
          <w:p>
            <w:pPr>
              <w:tabs>
                <w:tab w:val="left" w:pos="4678"/>
              </w:tabs>
              <w:spacing w:after="0" w:line="240" w:lineRule="auto"/>
              <w:rPr>
                <w:rFonts w:cs="Calibri"/>
                <w:color w:val="000000"/>
                <w:sz w:val="2"/>
                <w:szCs w:val="2"/>
              </w:rPr>
            </w:pPr>
          </w:p>
        </w:tc>
        <w:tc>
          <w:tcPr>
            <w:tcW w:w="960" w:type="dxa"/>
            <w:gridSpan w:val="6"/>
            <w:tcBorders>
              <w:bottom w:val="single" w:color="auto" w:sz="4" w:space="0"/>
            </w:tcBorders>
          </w:tcPr>
          <w:p>
            <w:pPr>
              <w:tabs>
                <w:tab w:val="left" w:pos="4678"/>
              </w:tabs>
              <w:spacing w:after="0" w:line="240" w:lineRule="auto"/>
              <w:rPr>
                <w:rFonts w:cs="Calibri"/>
                <w:color w:val="000000"/>
                <w:sz w:val="2"/>
                <w:szCs w:val="2"/>
              </w:rPr>
            </w:pPr>
          </w:p>
        </w:tc>
        <w:tc>
          <w:tcPr>
            <w:tcW w:w="923" w:type="dxa"/>
            <w:gridSpan w:val="6"/>
            <w:tcBorders>
              <w:bottom w:val="single" w:color="auto" w:sz="4" w:space="0"/>
            </w:tcBorders>
          </w:tcPr>
          <w:p>
            <w:pPr>
              <w:tabs>
                <w:tab w:val="left" w:pos="4678"/>
              </w:tabs>
              <w:spacing w:after="0" w:line="240" w:lineRule="auto"/>
              <w:rPr>
                <w:rFonts w:cs="Calibri"/>
                <w:color w:val="000000"/>
                <w:sz w:val="2"/>
                <w:szCs w:val="2"/>
              </w:rPr>
            </w:pPr>
          </w:p>
        </w:tc>
        <w:tc>
          <w:tcPr>
            <w:tcW w:w="937" w:type="dxa"/>
            <w:gridSpan w:val="5"/>
            <w:tcBorders>
              <w:bottom w:val="single" w:color="auto" w:sz="4" w:space="0"/>
            </w:tcBorders>
          </w:tcPr>
          <w:p>
            <w:pPr>
              <w:tabs>
                <w:tab w:val="left" w:pos="4678"/>
              </w:tabs>
              <w:spacing w:after="0" w:line="240" w:lineRule="auto"/>
              <w:rPr>
                <w:rFonts w:cs="Calibri"/>
                <w:color w:val="000000"/>
                <w:sz w:val="2"/>
                <w:szCs w:val="2"/>
              </w:rPr>
            </w:pPr>
          </w:p>
        </w:tc>
        <w:tc>
          <w:tcPr>
            <w:tcW w:w="1125" w:type="dxa"/>
            <w:gridSpan w:val="8"/>
            <w:tcBorders>
              <w:bottom w:val="single" w:color="auto" w:sz="4" w:space="0"/>
            </w:tcBorders>
          </w:tcPr>
          <w:p>
            <w:pPr>
              <w:tabs>
                <w:tab w:val="left" w:pos="4678"/>
              </w:tabs>
              <w:spacing w:after="0" w:line="240" w:lineRule="auto"/>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1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5306" w:type="dxa"/>
            <w:gridSpan w:val="27"/>
            <w:tcBorders>
              <w:top w:val="single" w:color="1F497D" w:sz="4" w:space="0"/>
              <w:left w:val="single" w:color="auto" w:sz="4" w:space="0"/>
              <w:bottom w:val="single" w:color="1F497D" w:sz="4" w:space="0"/>
              <w:right w:val="single" w:color="auto" w:sz="4" w:space="0"/>
            </w:tcBorders>
          </w:tcPr>
          <w:p>
            <w:pPr>
              <w:spacing w:after="0" w:line="240" w:lineRule="auto"/>
              <w:rPr>
                <w:rFonts w:cs="Arial" w:asciiTheme="minorHAnsi" w:hAnsiTheme="minorHAnsi"/>
                <w:sz w:val="20"/>
                <w:szCs w:val="20"/>
              </w:rPr>
            </w:pPr>
            <w:r>
              <w:rPr>
                <w:rFonts w:cs="Arial" w:asciiTheme="minorHAnsi" w:hAnsiTheme="minorHAnsi"/>
                <w:sz w:val="20"/>
                <w:szCs w:val="20"/>
              </w:rPr>
              <w:t>Baseline data AKI RSHS tahun 2015 adalah 904 per 100.000 persalinan</w:t>
            </w:r>
          </w:p>
        </w:tc>
        <w:tc>
          <w:tcPr>
            <w:tcW w:w="262" w:type="dxa"/>
            <w:gridSpan w:val="3"/>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4"/>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905" w:type="dxa"/>
            <w:gridSpan w:val="30"/>
            <w:tcBorders>
              <w:top w:val="single" w:color="auto" w:sz="4" w:space="0"/>
              <w:left w:val="single" w:color="auto" w:sz="4" w:space="0"/>
              <w:bottom w:val="single" w:color="auto" w:sz="4" w:space="0"/>
              <w:right w:val="single" w:color="auto" w:sz="4" w:space="0"/>
            </w:tcBorders>
          </w:tcPr>
          <w:p>
            <w:pPr>
              <w:tabs>
                <w:tab w:val="left" w:pos="4678"/>
              </w:tabs>
              <w:spacing w:after="0" w:line="240" w:lineRule="auto"/>
              <w:jc w:val="both"/>
              <w:rPr>
                <w:rFonts w:cs="Calibri" w:asciiTheme="minorHAnsi" w:hAnsiTheme="minorHAnsi"/>
                <w:color w:val="000000"/>
                <w:sz w:val="20"/>
                <w:szCs w:val="20"/>
              </w:rPr>
            </w:pPr>
            <w:r>
              <w:rPr>
                <w:rFonts w:cs="Arial" w:asciiTheme="minorHAnsi" w:hAnsiTheme="minorHAnsi"/>
                <w:sz w:val="20"/>
                <w:szCs w:val="20"/>
              </w:rPr>
              <w:t>Baseline data AKB RSHS tahun 2017 mencapai 66 per 1000</w:t>
            </w:r>
          </w:p>
        </w:tc>
        <w:tc>
          <w:tcPr>
            <w:tcW w:w="262" w:type="dxa"/>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1"/>
          <w:wAfter w:w="7"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ascii="Times New Roman" w:hAnsi="Times New Roman"/>
                <w:color w:val="000000"/>
                <w:sz w:val="2"/>
                <w:szCs w:val="2"/>
              </w:rPr>
            </w:pPr>
          </w:p>
        </w:tc>
        <w:tc>
          <w:tcPr>
            <w:tcW w:w="283" w:type="dxa"/>
          </w:tcPr>
          <w:p>
            <w:pPr>
              <w:tabs>
                <w:tab w:val="left" w:pos="4678"/>
              </w:tabs>
              <w:spacing w:after="0" w:line="240" w:lineRule="auto"/>
              <w:jc w:val="center"/>
              <w:rPr>
                <w:rFonts w:ascii="Times New Roman" w:hAnsi="Times New Roman"/>
                <w:color w:val="000000"/>
                <w:sz w:val="2"/>
                <w:szCs w:val="2"/>
              </w:rPr>
            </w:pPr>
          </w:p>
        </w:tc>
        <w:tc>
          <w:tcPr>
            <w:tcW w:w="1271"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35"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45"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67"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88"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960"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923"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937"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1125" w:type="dxa"/>
            <w:gridSpan w:val="8"/>
            <w:tcBorders>
              <w:bottom w:val="single" w:color="1F497D" w:sz="4" w:space="0"/>
            </w:tcBorders>
          </w:tcPr>
          <w:p>
            <w:pPr>
              <w:tabs>
                <w:tab w:val="left" w:pos="4678"/>
              </w:tabs>
              <w:spacing w:after="0" w:line="240" w:lineRule="auto"/>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5</w:t>
            </w:r>
          </w:p>
        </w:tc>
        <w:tc>
          <w:tcPr>
            <w:tcW w:w="1035" w:type="dxa"/>
            <w:gridSpan w:val="8"/>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6</w:t>
            </w:r>
          </w:p>
        </w:tc>
        <w:tc>
          <w:tcPr>
            <w:tcW w:w="1035" w:type="dxa"/>
            <w:gridSpan w:val="6"/>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7</w:t>
            </w:r>
          </w:p>
        </w:tc>
        <w:tc>
          <w:tcPr>
            <w:tcW w:w="1035" w:type="dxa"/>
            <w:gridSpan w:val="5"/>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8</w:t>
            </w:r>
          </w:p>
        </w:tc>
        <w:tc>
          <w:tcPr>
            <w:tcW w:w="1035" w:type="dxa"/>
            <w:gridSpan w:val="6"/>
            <w:tcBorders>
              <w:top w:val="single" w:color="1F497D" w:sz="4" w:space="0"/>
              <w:left w:val="single" w:color="1F497D" w:sz="4" w:space="0"/>
              <w:bottom w:val="single" w:color="1F497D" w:sz="4" w:space="0"/>
              <w:right w:val="single" w:color="1F497D" w:sz="4" w:space="0"/>
            </w:tcBorders>
            <w:shd w:val="clear" w:color="auto" w:fill="17365D"/>
          </w:tcPr>
          <w:p>
            <w:pPr>
              <w:tabs>
                <w:tab w:val="left" w:pos="4678"/>
              </w:tabs>
              <w:spacing w:after="0" w:line="240" w:lineRule="auto"/>
              <w:jc w:val="center"/>
              <w:rPr>
                <w:rFonts w:cs="Calibri"/>
                <w:b/>
                <w:sz w:val="20"/>
                <w:szCs w:val="20"/>
              </w:rPr>
            </w:pPr>
            <w:r>
              <w:rPr>
                <w:rFonts w:cs="Calibri"/>
                <w:b/>
                <w:sz w:val="20"/>
                <w:szCs w:val="20"/>
              </w:rPr>
              <w:t>2019</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086" w:type="dxa"/>
            <w:gridSpan w:val="6"/>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5</w:t>
            </w:r>
          </w:p>
        </w:tc>
        <w:tc>
          <w:tcPr>
            <w:tcW w:w="1086" w:type="dxa"/>
            <w:gridSpan w:val="6"/>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6</w:t>
            </w:r>
          </w:p>
        </w:tc>
        <w:tc>
          <w:tcPr>
            <w:tcW w:w="1049" w:type="dxa"/>
            <w:gridSpan w:val="8"/>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7</w:t>
            </w:r>
          </w:p>
        </w:tc>
        <w:tc>
          <w:tcPr>
            <w:tcW w:w="1062" w:type="dxa"/>
            <w:gridSpan w:val="5"/>
            <w:tcBorders>
              <w:top w:val="single" w:color="1F497D" w:sz="4" w:space="0"/>
              <w:left w:val="single" w:color="1F497D" w:sz="4" w:space="0"/>
              <w:bottom w:val="single" w:color="1F497D" w:sz="4" w:space="0"/>
              <w:right w:val="single" w:color="1F497D" w:sz="4" w:space="0"/>
            </w:tcBorders>
            <w:shd w:val="clear" w:color="auto" w:fill="17365D"/>
            <w:vAlign w:val="center"/>
          </w:tcPr>
          <w:p>
            <w:pPr>
              <w:tabs>
                <w:tab w:val="left" w:pos="4678"/>
              </w:tabs>
              <w:spacing w:after="0" w:line="240" w:lineRule="auto"/>
              <w:jc w:val="center"/>
              <w:rPr>
                <w:rFonts w:cs="Calibri"/>
                <w:b/>
                <w:sz w:val="20"/>
                <w:szCs w:val="20"/>
              </w:rPr>
            </w:pPr>
            <w:r>
              <w:rPr>
                <w:rFonts w:cs="Calibri"/>
                <w:b/>
                <w:sz w:val="20"/>
                <w:szCs w:val="20"/>
                <w:lang w:val="id-ID"/>
              </w:rPr>
              <w:t>201</w:t>
            </w:r>
            <w:r>
              <w:rPr>
                <w:rFonts w:cs="Calibri"/>
                <w:b/>
                <w:sz w:val="20"/>
                <w:szCs w:val="20"/>
              </w:rPr>
              <w:t>8</w:t>
            </w:r>
          </w:p>
        </w:tc>
        <w:tc>
          <w:tcPr>
            <w:tcW w:w="622" w:type="dxa"/>
            <w:gridSpan w:val="5"/>
            <w:tcBorders>
              <w:top w:val="single" w:color="1F497D" w:sz="4" w:space="0"/>
              <w:left w:val="single" w:color="1F497D" w:sz="4" w:space="0"/>
              <w:bottom w:val="single" w:color="1F497D" w:sz="4" w:space="0"/>
              <w:right w:val="single" w:color="1F497D" w:sz="4" w:space="0"/>
            </w:tcBorders>
            <w:shd w:val="clear" w:color="auto" w:fill="17365D"/>
          </w:tcPr>
          <w:p>
            <w:pPr>
              <w:tabs>
                <w:tab w:val="left" w:pos="4678"/>
              </w:tabs>
              <w:spacing w:after="0" w:line="240" w:lineRule="auto"/>
              <w:jc w:val="center"/>
              <w:rPr>
                <w:rFonts w:cs="Calibri"/>
                <w:b/>
                <w:sz w:val="20"/>
                <w:szCs w:val="20"/>
              </w:rPr>
            </w:pPr>
            <w:r>
              <w:rPr>
                <w:rFonts w:cs="Calibri"/>
                <w:b/>
                <w:sz w:val="20"/>
                <w:szCs w:val="20"/>
              </w:rPr>
              <w:t>2019</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904</w:t>
            </w:r>
          </w:p>
          <w:p>
            <w:pPr>
              <w:spacing w:after="0" w:line="240" w:lineRule="auto"/>
              <w:jc w:val="center"/>
              <w:rPr>
                <w:rFonts w:ascii="Arial" w:hAnsi="Arial" w:cs="Arial"/>
                <w:sz w:val="16"/>
              </w:rPr>
            </w:pPr>
          </w:p>
        </w:tc>
        <w:tc>
          <w:tcPr>
            <w:tcW w:w="1035"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789</w:t>
            </w:r>
          </w:p>
          <w:p>
            <w:pPr>
              <w:spacing w:after="0" w:line="240" w:lineRule="auto"/>
              <w:jc w:val="center"/>
              <w:rPr>
                <w:rFonts w:ascii="Arial" w:hAnsi="Arial" w:cs="Arial"/>
                <w:sz w:val="16"/>
              </w:rPr>
            </w:pPr>
          </w:p>
        </w:tc>
        <w:tc>
          <w:tcPr>
            <w:tcW w:w="1035"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670</w:t>
            </w:r>
          </w:p>
          <w:p>
            <w:pPr>
              <w:spacing w:after="0" w:line="240" w:lineRule="auto"/>
              <w:jc w:val="center"/>
              <w:rPr>
                <w:rFonts w:ascii="Arial" w:hAnsi="Arial" w:cs="Arial"/>
                <w:sz w:val="16"/>
              </w:rPr>
            </w:pPr>
          </w:p>
        </w:tc>
        <w:tc>
          <w:tcPr>
            <w:tcW w:w="1035"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887</w:t>
            </w:r>
          </w:p>
          <w:p>
            <w:pPr>
              <w:spacing w:after="0" w:line="240" w:lineRule="auto"/>
              <w:jc w:val="center"/>
              <w:rPr>
                <w:rFonts w:ascii="Arial" w:hAnsi="Arial" w:cs="Arial"/>
                <w:sz w:val="16"/>
              </w:rPr>
            </w:pPr>
          </w:p>
        </w:tc>
        <w:tc>
          <w:tcPr>
            <w:tcW w:w="1035"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800</w:t>
            </w:r>
          </w:p>
          <w:p>
            <w:pPr>
              <w:spacing w:after="0" w:line="240" w:lineRule="auto"/>
              <w:jc w:val="center"/>
              <w:rPr>
                <w:rFonts w:ascii="Arial" w:hAnsi="Arial" w:cs="Arial"/>
                <w:sz w:val="16"/>
              </w:rPr>
            </w:pP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1086"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w:t>
            </w:r>
          </w:p>
        </w:tc>
        <w:tc>
          <w:tcPr>
            <w:tcW w:w="1086"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81,4</w:t>
            </w:r>
          </w:p>
        </w:tc>
        <w:tc>
          <w:tcPr>
            <w:tcW w:w="1049"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73</w:t>
            </w:r>
          </w:p>
        </w:tc>
        <w:tc>
          <w:tcPr>
            <w:tcW w:w="1062"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60</w:t>
            </w:r>
          </w:p>
        </w:tc>
        <w:tc>
          <w:tcPr>
            <w:tcW w:w="622"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16"/>
              </w:rPr>
            </w:pPr>
            <w:r>
              <w:rPr>
                <w:rFonts w:ascii="Arial" w:hAnsi="Arial" w:cs="Arial"/>
                <w:sz w:val="16"/>
              </w:rPr>
              <w:t>54</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7413" w:type="dxa"/>
            <w:gridSpan w:val="29"/>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gridSpan w:val="3"/>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993" w:type="dxa"/>
            <w:gridSpan w:val="36"/>
            <w:tcBorders>
              <w:bottom w:val="single" w:color="1F497D" w:sz="4" w:space="0"/>
            </w:tcBorders>
          </w:tcPr>
          <w:p>
            <w:pPr>
              <w:tabs>
                <w:tab w:val="left" w:pos="4678"/>
              </w:tabs>
              <w:spacing w:after="0" w:line="240" w:lineRule="auto"/>
              <w:rPr>
                <w:rFonts w:cs="Calibri"/>
                <w:color w:val="000000"/>
                <w:sz w:val="2"/>
                <w:szCs w:val="18"/>
              </w:rPr>
            </w:pPr>
          </w:p>
        </w:tc>
        <w:tc>
          <w:tcPr>
            <w:tcW w:w="26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gridAfter w:val="3"/>
          <w:wAfter w:w="630" w:type="dxa"/>
          <w:trHeight w:val="20" w:hRule="atLeast"/>
          <w:jc w:val="center"/>
        </w:trPr>
        <w:tc>
          <w:tcPr>
            <w:tcW w:w="7801" w:type="dxa"/>
            <w:gridSpan w:val="32"/>
            <w:tcBorders>
              <w:bottom w:val="single" w:color="1F497D" w:sz="4" w:space="0"/>
            </w:tcBorders>
            <w:shd w:val="clear" w:color="auto" w:fill="EBCC6E"/>
            <w:vAlign w:val="center"/>
          </w:tcPr>
          <w:p>
            <w:pPr>
              <w:pStyle w:val="40"/>
              <w:tabs>
                <w:tab w:val="left" w:pos="4678"/>
              </w:tabs>
              <w:spacing w:before="40"/>
              <w:rPr>
                <w:rFonts w:eastAsia="Times New Roman"/>
                <w:lang w:val="sv-SE"/>
              </w:rPr>
            </w:pPr>
            <w:r>
              <w:t>K</w:t>
            </w:r>
            <w:r>
              <w:rPr>
                <w:rFonts w:eastAsia="Times New Roman"/>
                <w:lang w:val="sv-SE"/>
              </w:rPr>
              <w:t xml:space="preserve">PI-3. </w:t>
            </w:r>
            <w:r>
              <w:rPr>
                <w:rFonts w:cs="Arial"/>
                <w:color w:val="000000"/>
              </w:rPr>
              <w:t>Insidensi kanker serviks</w:t>
            </w:r>
            <w:r>
              <w:rPr>
                <w:rFonts w:cs="Arial"/>
                <w:color w:val="000000"/>
              </w:rPr>
              <w:tab/>
            </w:r>
          </w:p>
        </w:tc>
        <w:tc>
          <w:tcPr>
            <w:tcW w:w="300" w:type="dxa"/>
            <w:gridSpan w:val="3"/>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040" w:type="dxa"/>
            <w:gridSpan w:val="38"/>
            <w:tcBorders>
              <w:bottom w:val="single" w:color="1F497D" w:sz="4" w:space="0"/>
            </w:tcBorders>
            <w:shd w:val="clear" w:color="auto" w:fill="EBCC6E"/>
          </w:tcPr>
          <w:p>
            <w:pPr>
              <w:pStyle w:val="40"/>
              <w:tabs>
                <w:tab w:val="left" w:pos="4678"/>
              </w:tabs>
              <w:spacing w:before="40"/>
            </w:pPr>
            <w:r>
              <w:t>K</w:t>
            </w:r>
            <w:r>
              <w:rPr>
                <w:rFonts w:eastAsia="Times New Roman"/>
                <w:lang w:val="sv-SE"/>
              </w:rPr>
              <w:t xml:space="preserve">PI-4. </w:t>
            </w:r>
            <w:r>
              <w:rPr>
                <w:rFonts w:cs="Arial"/>
                <w:color w:val="000000"/>
              </w:rPr>
              <w:t>Preferensi Masyarakat</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5166" w:type="dxa"/>
            <w:gridSpan w:val="26"/>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3"/>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05" w:type="dxa"/>
            <w:gridSpan w:val="4"/>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4409" w:type="dxa"/>
            <w:gridSpan w:val="25"/>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4"/>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4"/>
          <w:wAfter w:w="643"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5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27"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50" w:type="dxa"/>
            <w:gridSpan w:val="5"/>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52"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480" w:type="dxa"/>
            <w:gridSpan w:val="8"/>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60"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694" w:type="dxa"/>
            <w:gridSpan w:val="4"/>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30"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665" w:type="dxa"/>
            <w:gridSpan w:val="4"/>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260"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stakeholder</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lang w:val="id-ID"/>
              </w:rPr>
              <w:t>Stakeholder</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4409" w:type="dxa"/>
            <w:gridSpan w:val="25"/>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lang w:val="sv-SE"/>
              </w:rPr>
              <w:t>Terwujudnya peningkatan indikator kesehatan Jawa Barat</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RSHS sebagai pilihan utama masyarakat</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3"/>
                <w:szCs w:val="3"/>
              </w:rPr>
            </w:pPr>
          </w:p>
        </w:tc>
        <w:tc>
          <w:tcPr>
            <w:tcW w:w="283" w:type="dxa"/>
          </w:tcPr>
          <w:p>
            <w:pPr>
              <w:tabs>
                <w:tab w:val="left" w:pos="4678"/>
              </w:tabs>
              <w:spacing w:after="0" w:line="240" w:lineRule="auto"/>
              <w:jc w:val="center"/>
              <w:rPr>
                <w:rFonts w:cs="Calibri"/>
                <w:b/>
                <w:bCs/>
                <w:color w:val="000000"/>
                <w:sz w:val="2"/>
                <w:szCs w:val="2"/>
              </w:rPr>
            </w:pPr>
          </w:p>
        </w:tc>
        <w:tc>
          <w:tcPr>
            <w:tcW w:w="5166" w:type="dxa"/>
            <w:gridSpan w:val="2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409" w:type="dxa"/>
            <w:gridSpan w:val="2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Insidensi kanker serviks</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Preferensi Masyarakat</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94"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3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65"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2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Indikator ini menggambarkan dampak yang secara umum sering digunakan sebagai tolok ukur hasil pembangunan kesehatan dan sebagai kapasitas suatu sistem kesehatan untuk menyelenggarakan pelayanan kesehatan yang efektif yang ditujukan untuk mencegah dan mengatasi kasus Ca Serviks .</w:t>
            </w:r>
          </w:p>
          <w:p>
            <w:pPr>
              <w:widowControl w:val="0"/>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Insidensi kanker serviks  adalah angka kejadian kanker </w:t>
            </w:r>
          </w:p>
          <w:p>
            <w:pPr>
              <w:tabs>
                <w:tab w:val="left" w:pos="4678"/>
              </w:tabs>
              <w:spacing w:after="0" w:line="240" w:lineRule="auto"/>
              <w:jc w:val="both"/>
              <w:rPr>
                <w:rFonts w:cs="Calibri"/>
                <w:color w:val="000000"/>
                <w:sz w:val="20"/>
                <w:szCs w:val="20"/>
                <w:lang w:val="sv-SE"/>
              </w:rPr>
            </w:pPr>
            <w:r>
              <w:rPr>
                <w:rFonts w:asciiTheme="minorHAnsi" w:hAnsiTheme="minorHAnsi" w:cstheme="minorHAnsi"/>
                <w:sz w:val="20"/>
                <w:szCs w:val="20"/>
              </w:rPr>
              <w:t>serviks baru ditambah kasus lama yang terjadi pada seluruh wanita  di Jawa barat</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 xml:space="preserve">Suatu indikator hasil </w:t>
            </w:r>
            <w:r>
              <w:rPr>
                <w:rFonts w:cs="Arial"/>
                <w:i/>
                <w:iCs/>
                <w:sz w:val="20"/>
                <w:szCs w:val="20"/>
              </w:rPr>
              <w:t>(outcome)</w:t>
            </w:r>
            <w:r>
              <w:rPr>
                <w:rFonts w:cs="Arial"/>
                <w:sz w:val="20"/>
                <w:szCs w:val="20"/>
              </w:rPr>
              <w:t xml:space="preserve"> yang menunjukkan seberapa besar masyarakat Jawa Barat menjadikan RSHS dijadikan pilihan (preferensi) utama tempat pelayanan kesehatan rujukan (untuk layanan operatif)</w:t>
            </w: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Arial"/>
                <w:sz w:val="20"/>
                <w:szCs w:val="20"/>
                <w:lang w:val="sv-SE"/>
              </w:rPr>
            </w:pPr>
          </w:p>
          <w:p>
            <w:pPr>
              <w:tabs>
                <w:tab w:val="left" w:pos="4678"/>
              </w:tabs>
              <w:spacing w:after="0" w:line="240" w:lineRule="auto"/>
              <w:jc w:val="both"/>
              <w:rPr>
                <w:rFonts w:cs="Calibri"/>
                <w:color w:val="000000"/>
                <w:sz w:val="20"/>
                <w:szCs w:val="20"/>
                <w:lang w:val="sv-SE"/>
              </w:rPr>
            </w:pPr>
          </w:p>
          <w:p>
            <w:pPr>
              <w:tabs>
                <w:tab w:val="left" w:pos="4678"/>
              </w:tabs>
              <w:spacing w:after="0" w:line="240" w:lineRule="auto"/>
              <w:jc w:val="both"/>
              <w:rPr>
                <w:rFonts w:cs="Calibri"/>
                <w:color w:val="000000"/>
                <w:sz w:val="20"/>
                <w:szCs w:val="20"/>
                <w:lang w:val="sv-SE"/>
              </w:rPr>
            </w:pPr>
          </w:p>
          <w:p>
            <w:pPr>
              <w:tabs>
                <w:tab w:val="left" w:pos="4678"/>
              </w:tabs>
              <w:spacing w:after="0" w:line="240" w:lineRule="auto"/>
              <w:jc w:val="both"/>
              <w:rPr>
                <w:rFonts w:cs="Calibri"/>
                <w:color w:val="000000"/>
                <w:sz w:val="20"/>
                <w:szCs w:val="20"/>
                <w:lang w:val="sv-SE"/>
              </w:rPr>
            </w:pP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694"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83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665"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widowControl w:val="0"/>
              <w:autoSpaceDE w:val="0"/>
              <w:autoSpaceDN w:val="0"/>
              <w:adjustRightInd w:val="0"/>
              <w:spacing w:after="0" w:line="240" w:lineRule="auto"/>
              <w:rPr>
                <w:rFonts w:cs="Calibri"/>
                <w:color w:val="000000"/>
                <w:sz w:val="20"/>
                <w:szCs w:val="20"/>
              </w:rPr>
            </w:pPr>
            <w:r>
              <w:rPr>
                <w:rFonts w:ascii="Times" w:hAnsi="Times" w:cs="Times"/>
                <w:sz w:val="20"/>
                <w:szCs w:val="20"/>
              </w:rPr>
              <w:t>Dihitung dari jumlah penderita kanker serviks (kasus baru ditambah kasus lama) dibandingkan jumlah seluruh penduduk wanita di Jawa Barat</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persentase responden yang ingin berobat kembali ke Rumah Sakit Dr. Hasan Sadikin berdasarkan survei</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694"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83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665"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ascii="Times" w:hAnsi="Times" w:cs="Times"/>
                <w:sz w:val="20"/>
                <w:szCs w:val="20"/>
              </w:rPr>
              <w:t>1204 / 21.146.692 x100% = 0,0056% (tahun 2015)</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694"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83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665"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Direktur Medik dan Keperawatan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Direktur SDM dan Pendidikan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5166" w:type="dxa"/>
            <w:gridSpan w:val="2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409" w:type="dxa"/>
            <w:gridSpan w:val="2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widowControl w:val="0"/>
              <w:autoSpaceDE w:val="0"/>
              <w:autoSpaceDN w:val="0"/>
              <w:adjustRightInd w:val="0"/>
              <w:spacing w:after="0" w:line="240" w:lineRule="auto"/>
              <w:rPr>
                <w:rFonts w:ascii="Times" w:hAnsi="Times" w:cs="Times"/>
                <w:sz w:val="20"/>
                <w:szCs w:val="20"/>
              </w:rPr>
            </w:pPr>
            <w:r>
              <w:rPr>
                <w:rFonts w:ascii="Times" w:hAnsi="Times" w:cs="Times"/>
                <w:sz w:val="20"/>
                <w:szCs w:val="20"/>
              </w:rPr>
              <w:t xml:space="preserve">Data Rekam Medis RSHS, Badan Pusat Statistik Prov Jawa </w:t>
            </w:r>
          </w:p>
          <w:p>
            <w:pPr>
              <w:tabs>
                <w:tab w:val="left" w:pos="4678"/>
              </w:tabs>
              <w:spacing w:after="0" w:line="240" w:lineRule="auto"/>
              <w:rPr>
                <w:rFonts w:cs="Arial"/>
                <w:sz w:val="20"/>
                <w:szCs w:val="20"/>
              </w:rPr>
            </w:pPr>
            <w:r>
              <w:rPr>
                <w:rFonts w:ascii="Times" w:hAnsi="Times" w:cs="Times"/>
                <w:sz w:val="20"/>
                <w:szCs w:val="20"/>
              </w:rPr>
              <w:t>Barat tahun 2015</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Arial"/>
                <w:sz w:val="20"/>
                <w:szCs w:val="20"/>
              </w:rPr>
            </w:pPr>
            <w:r>
              <w:rPr>
                <w:rFonts w:cs="Arial"/>
                <w:sz w:val="20"/>
                <w:szCs w:val="20"/>
              </w:rPr>
              <w:t>Survei Preferensi Masyarakat</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694"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83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665"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60"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18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166" w:type="dxa"/>
            <w:gridSpan w:val="26"/>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Tahunan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09"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Tahunan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1805"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auto" w:sz="4" w:space="0"/>
            </w:tcBorders>
          </w:tcPr>
          <w:p>
            <w:pPr>
              <w:tabs>
                <w:tab w:val="left" w:pos="4678"/>
              </w:tabs>
              <w:spacing w:after="0" w:line="240" w:lineRule="auto"/>
              <w:rPr>
                <w:rFonts w:cs="Calibri"/>
                <w:color w:val="000000"/>
                <w:sz w:val="2"/>
                <w:szCs w:val="2"/>
              </w:rPr>
            </w:pPr>
          </w:p>
        </w:tc>
        <w:tc>
          <w:tcPr>
            <w:tcW w:w="694" w:type="dxa"/>
            <w:gridSpan w:val="4"/>
            <w:tcBorders>
              <w:bottom w:val="single" w:color="auto" w:sz="4" w:space="0"/>
            </w:tcBorders>
          </w:tcPr>
          <w:p>
            <w:pPr>
              <w:tabs>
                <w:tab w:val="left" w:pos="4678"/>
              </w:tabs>
              <w:spacing w:after="0" w:line="240" w:lineRule="auto"/>
              <w:rPr>
                <w:rFonts w:cs="Calibri"/>
                <w:color w:val="000000"/>
                <w:sz w:val="2"/>
                <w:szCs w:val="2"/>
              </w:rPr>
            </w:pPr>
          </w:p>
        </w:tc>
        <w:tc>
          <w:tcPr>
            <w:tcW w:w="830" w:type="dxa"/>
            <w:gridSpan w:val="6"/>
            <w:tcBorders>
              <w:bottom w:val="single" w:color="auto" w:sz="4" w:space="0"/>
            </w:tcBorders>
          </w:tcPr>
          <w:p>
            <w:pPr>
              <w:tabs>
                <w:tab w:val="left" w:pos="4678"/>
              </w:tabs>
              <w:spacing w:after="0" w:line="240" w:lineRule="auto"/>
              <w:rPr>
                <w:rFonts w:cs="Calibri"/>
                <w:color w:val="000000"/>
                <w:sz w:val="2"/>
                <w:szCs w:val="2"/>
              </w:rPr>
            </w:pPr>
          </w:p>
        </w:tc>
        <w:tc>
          <w:tcPr>
            <w:tcW w:w="665" w:type="dxa"/>
            <w:gridSpan w:val="4"/>
            <w:tcBorders>
              <w:bottom w:val="single" w:color="auto" w:sz="4" w:space="0"/>
            </w:tcBorders>
          </w:tcPr>
          <w:p>
            <w:pPr>
              <w:tabs>
                <w:tab w:val="left" w:pos="4678"/>
              </w:tabs>
              <w:spacing w:after="0" w:line="240" w:lineRule="auto"/>
              <w:rPr>
                <w:rFonts w:cs="Calibri"/>
                <w:color w:val="000000"/>
                <w:sz w:val="2"/>
                <w:szCs w:val="2"/>
              </w:rPr>
            </w:pPr>
          </w:p>
        </w:tc>
        <w:tc>
          <w:tcPr>
            <w:tcW w:w="1260" w:type="dxa"/>
            <w:gridSpan w:val="6"/>
            <w:tcBorders>
              <w:bottom w:val="single" w:color="auto" w:sz="4" w:space="0"/>
            </w:tcBorders>
          </w:tcPr>
          <w:p>
            <w:pPr>
              <w:tabs>
                <w:tab w:val="left" w:pos="4678"/>
              </w:tabs>
              <w:spacing w:after="0" w:line="240" w:lineRule="auto"/>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643" w:type="dxa"/>
          <w:trHeight w:val="21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5166" w:type="dxa"/>
            <w:gridSpan w:val="26"/>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color w:val="000000"/>
                <w:sz w:val="20"/>
                <w:szCs w:val="20"/>
              </w:rPr>
            </w:pPr>
            <w:r>
              <w:rPr>
                <w:color w:val="000000"/>
                <w:sz w:val="20"/>
                <w:szCs w:val="20"/>
              </w:rPr>
              <w:t>0,0056%</w:t>
            </w:r>
          </w:p>
        </w:tc>
        <w:tc>
          <w:tcPr>
            <w:tcW w:w="262" w:type="dxa"/>
            <w:gridSpan w:val="3"/>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4409" w:type="dxa"/>
            <w:gridSpan w:val="25"/>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color w:val="000000"/>
                <w:sz w:val="20"/>
                <w:szCs w:val="20"/>
              </w:rPr>
            </w:pPr>
            <w:r>
              <w:rPr>
                <w:color w:val="000000"/>
                <w:sz w:val="20"/>
                <w:szCs w:val="20"/>
              </w:rPr>
              <w:t>tak ada data</w:t>
            </w:r>
          </w:p>
        </w:tc>
        <w:tc>
          <w:tcPr>
            <w:tcW w:w="262" w:type="dxa"/>
            <w:gridSpan w:val="4"/>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643"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ascii="Times New Roman" w:hAnsi="Times New Roman"/>
                <w:color w:val="000000"/>
                <w:sz w:val="2"/>
                <w:szCs w:val="2"/>
              </w:rPr>
            </w:pP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50"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52"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80"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960"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694" w:type="dxa"/>
            <w:gridSpan w:val="4"/>
            <w:tcBorders>
              <w:bottom w:val="single" w:color="1F497D" w:sz="4" w:space="0"/>
            </w:tcBorders>
          </w:tcPr>
          <w:p>
            <w:pPr>
              <w:tabs>
                <w:tab w:val="left" w:pos="4678"/>
              </w:tabs>
              <w:spacing w:after="0" w:line="240" w:lineRule="auto"/>
              <w:rPr>
                <w:rFonts w:cs="Calibri"/>
                <w:color w:val="000000"/>
                <w:sz w:val="2"/>
                <w:szCs w:val="2"/>
              </w:rPr>
            </w:pPr>
          </w:p>
        </w:tc>
        <w:tc>
          <w:tcPr>
            <w:tcW w:w="830"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665" w:type="dxa"/>
            <w:gridSpan w:val="4"/>
            <w:tcBorders>
              <w:bottom w:val="single" w:color="1F497D" w:sz="4" w:space="0"/>
            </w:tcBorders>
          </w:tcPr>
          <w:p>
            <w:pPr>
              <w:tabs>
                <w:tab w:val="left" w:pos="4678"/>
              </w:tabs>
              <w:spacing w:after="0" w:line="240" w:lineRule="auto"/>
              <w:rPr>
                <w:rFonts w:cs="Calibri"/>
                <w:color w:val="000000"/>
                <w:sz w:val="2"/>
                <w:szCs w:val="2"/>
              </w:rPr>
            </w:pPr>
          </w:p>
        </w:tc>
        <w:tc>
          <w:tcPr>
            <w:tcW w:w="1260"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92"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993"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1242"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773" w:type="dxa"/>
            <w:gridSpan w:val="3"/>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869"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1037"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756"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36"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811" w:type="dxa"/>
            <w:gridSpan w:val="3"/>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0,0056</w:t>
            </w:r>
          </w:p>
        </w:tc>
        <w:tc>
          <w:tcPr>
            <w:tcW w:w="992"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0,0053</w:t>
            </w:r>
          </w:p>
        </w:tc>
        <w:tc>
          <w:tcPr>
            <w:tcW w:w="993"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0,0050</w:t>
            </w:r>
          </w:p>
        </w:tc>
        <w:tc>
          <w:tcPr>
            <w:tcW w:w="1242"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0,0062</w:t>
            </w:r>
          </w:p>
        </w:tc>
        <w:tc>
          <w:tcPr>
            <w:tcW w:w="773"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0,0056</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869" w:type="dxa"/>
            <w:gridSpan w:val="4"/>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sz w:val="20"/>
                <w:szCs w:val="20"/>
                <w:lang w:val="id-ID"/>
              </w:rPr>
            </w:pPr>
            <w:r>
              <w:rPr>
                <w:rFonts w:cs="Arial"/>
                <w:sz w:val="20"/>
                <w:szCs w:val="20"/>
                <w:lang w:val="id-ID"/>
              </w:rPr>
              <w:t>3</w:t>
            </w:r>
          </w:p>
        </w:tc>
        <w:tc>
          <w:tcPr>
            <w:tcW w:w="1037" w:type="dxa"/>
            <w:gridSpan w:val="7"/>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sz w:val="20"/>
                <w:szCs w:val="20"/>
                <w:lang w:val="id-ID"/>
              </w:rPr>
            </w:pPr>
            <w:r>
              <w:rPr>
                <w:rFonts w:cs="Arial"/>
                <w:sz w:val="20"/>
                <w:szCs w:val="20"/>
                <w:lang w:val="id-ID"/>
              </w:rPr>
              <w:t>2.5</w:t>
            </w:r>
          </w:p>
        </w:tc>
        <w:tc>
          <w:tcPr>
            <w:tcW w:w="756"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70</w:t>
            </w:r>
          </w:p>
        </w:tc>
        <w:tc>
          <w:tcPr>
            <w:tcW w:w="936"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rPr>
              <w:t>9</w:t>
            </w:r>
            <w:r>
              <w:rPr>
                <w:rFonts w:cs="Arial"/>
                <w:sz w:val="20"/>
                <w:szCs w:val="20"/>
                <w:lang w:val="id-ID"/>
              </w:rPr>
              <w:t>5</w:t>
            </w:r>
          </w:p>
        </w:tc>
        <w:tc>
          <w:tcPr>
            <w:tcW w:w="811"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97</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643" w:type="dxa"/>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7273" w:type="dxa"/>
            <w:gridSpan w:val="28"/>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gridSpan w:val="3"/>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497" w:type="dxa"/>
            <w:gridSpan w:val="31"/>
            <w:tcBorders>
              <w:bottom w:val="single" w:color="1F497D" w:sz="4" w:space="0"/>
            </w:tcBorders>
          </w:tcPr>
          <w:p>
            <w:pPr>
              <w:tabs>
                <w:tab w:val="left" w:pos="4678"/>
              </w:tabs>
              <w:spacing w:after="0" w:line="240" w:lineRule="auto"/>
              <w:rPr>
                <w:rFonts w:cs="Calibri"/>
                <w:color w:val="000000"/>
                <w:sz w:val="2"/>
                <w:szCs w:val="18"/>
              </w:rPr>
            </w:pPr>
          </w:p>
        </w:tc>
        <w:tc>
          <w:tcPr>
            <w:tcW w:w="262" w:type="dxa"/>
            <w:gridSpan w:val="4"/>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gridAfter w:val="5"/>
          <w:wAfter w:w="721" w:type="dxa"/>
          <w:trHeight w:val="20" w:hRule="atLeast"/>
          <w:jc w:val="center"/>
        </w:trPr>
        <w:tc>
          <w:tcPr>
            <w:tcW w:w="7007" w:type="dxa"/>
            <w:gridSpan w:val="27"/>
            <w:tcBorders>
              <w:bottom w:val="single" w:color="1F497D" w:sz="4" w:space="0"/>
            </w:tcBorders>
            <w:shd w:val="clear" w:color="auto" w:fill="EBCC6E"/>
            <w:vAlign w:val="center"/>
          </w:tcPr>
          <w:p>
            <w:pPr>
              <w:pStyle w:val="40"/>
              <w:tabs>
                <w:tab w:val="left" w:pos="4678"/>
              </w:tabs>
              <w:spacing w:before="40"/>
              <w:rPr>
                <w:rFonts w:eastAsia="Times New Roman"/>
                <w:lang w:val="sv-SE"/>
              </w:rPr>
            </w:pPr>
            <w:r>
              <w:t>KPI</w:t>
            </w:r>
            <w:r>
              <w:rPr>
                <w:lang w:val="id-ID"/>
              </w:rPr>
              <w:t>-</w:t>
            </w:r>
            <w:r>
              <w:t xml:space="preserve">5. </w:t>
            </w:r>
            <w:r>
              <w:rPr>
                <w:rFonts w:cs="Arial"/>
                <w:color w:val="000000"/>
              </w:rPr>
              <w:t>Akreditasi RS</w:t>
            </w:r>
          </w:p>
        </w:tc>
        <w:tc>
          <w:tcPr>
            <w:tcW w:w="460" w:type="dxa"/>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583" w:type="dxa"/>
            <w:gridSpan w:val="43"/>
            <w:tcBorders>
              <w:bottom w:val="single" w:color="1F497D" w:sz="4" w:space="0"/>
            </w:tcBorders>
            <w:shd w:val="clear" w:color="auto" w:fill="EBCC6E"/>
            <w:vAlign w:val="center"/>
          </w:tcPr>
          <w:p>
            <w:pPr>
              <w:pStyle w:val="40"/>
              <w:tabs>
                <w:tab w:val="left" w:pos="4678"/>
              </w:tabs>
              <w:spacing w:before="40"/>
              <w:rPr>
                <w:rFonts w:eastAsia="Times New Roman"/>
                <w:lang w:val="sv-SE"/>
              </w:rPr>
            </w:pPr>
            <w:r>
              <w:t>K</w:t>
            </w:r>
            <w:r>
              <w:rPr>
                <w:rFonts w:eastAsia="Times New Roman"/>
                <w:lang w:val="sv-SE"/>
              </w:rPr>
              <w:t xml:space="preserve">PI-6. </w:t>
            </w:r>
            <w:r>
              <w:rPr>
                <w:rFonts w:cs="Arial"/>
                <w:color w:val="000000"/>
              </w:rPr>
              <w:t>Tingkat Kepuasan Pasien</w:t>
            </w:r>
            <w:r>
              <w:rPr>
                <w:rFonts w:cs="Arial"/>
                <w:color w:val="000000"/>
              </w:rPr>
              <w:tab/>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4340" w:type="dxa"/>
            <w:gridSpan w:val="22"/>
            <w:tcBorders>
              <w:top w:val="single" w:color="1F497D" w:sz="4" w:space="0"/>
            </w:tcBorders>
          </w:tcPr>
          <w:p>
            <w:pPr>
              <w:tabs>
                <w:tab w:val="left" w:pos="4678"/>
              </w:tabs>
              <w:spacing w:after="0" w:line="240" w:lineRule="auto"/>
              <w:rPr>
                <w:rFonts w:cs="Calibri"/>
                <w:b/>
                <w:bCs/>
                <w:color w:val="000000"/>
                <w:sz w:val="4"/>
                <w:szCs w:val="10"/>
              </w:rPr>
            </w:pPr>
          </w:p>
        </w:tc>
        <w:tc>
          <w:tcPr>
            <w:tcW w:w="294"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3"/>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769" w:type="dxa"/>
            <w:gridSpan w:val="5"/>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4659" w:type="dxa"/>
            <w:gridSpan w:val="27"/>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3"/>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6"/>
          <w:wAfter w:w="743"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025" w:type="dxa"/>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18"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60"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93"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944" w:type="dxa"/>
            <w:gridSpan w:val="5"/>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24"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914"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96" w:type="dxa"/>
            <w:gridSpan w:val="6"/>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765"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160"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lang w:val="id-ID"/>
              </w:rPr>
              <w:t>Stakeholder</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lang w:val="id-ID"/>
              </w:rPr>
              <w:t>Stakeholder</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jc w:val="both"/>
              <w:rPr>
                <w:rFonts w:cs="Calibri"/>
                <w:i/>
                <w:iCs/>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659" w:type="dxa"/>
            <w:gridSpan w:val="27"/>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RSHS sebagai pilihan utama masyarakat</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RSHS sebagai pilihan utama masyarakat</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340" w:type="dxa"/>
            <w:gridSpan w:val="2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cs="Calibri"/>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769" w:type="dxa"/>
            <w:gridSpan w:val="5"/>
          </w:tcPr>
          <w:p>
            <w:pPr>
              <w:tabs>
                <w:tab w:val="left" w:pos="4678"/>
              </w:tabs>
              <w:spacing w:after="0" w:line="240" w:lineRule="auto"/>
              <w:rPr>
                <w:rFonts w:cs="Calibri"/>
                <w:b/>
                <w:bCs/>
                <w:color w:val="000000"/>
                <w:sz w:val="3"/>
                <w:szCs w:val="3"/>
              </w:rPr>
            </w:pPr>
          </w:p>
        </w:tc>
        <w:tc>
          <w:tcPr>
            <w:tcW w:w="283" w:type="dxa"/>
          </w:tcPr>
          <w:p>
            <w:pPr>
              <w:tabs>
                <w:tab w:val="left" w:pos="4678"/>
              </w:tabs>
              <w:spacing w:after="0" w:line="240" w:lineRule="auto"/>
              <w:jc w:val="center"/>
              <w:rPr>
                <w:rFonts w:cs="Calibri"/>
                <w:b/>
                <w:bCs/>
                <w:color w:val="000000"/>
                <w:sz w:val="2"/>
                <w:szCs w:val="2"/>
              </w:rPr>
            </w:pPr>
          </w:p>
        </w:tc>
        <w:tc>
          <w:tcPr>
            <w:tcW w:w="4659" w:type="dxa"/>
            <w:gridSpan w:val="27"/>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color w:val="000000"/>
                <w:sz w:val="20"/>
                <w:szCs w:val="20"/>
              </w:rPr>
            </w:pPr>
            <w:r>
              <w:rPr>
                <w:rFonts w:cs="Arial"/>
                <w:bCs/>
                <w:color w:val="000000"/>
                <w:sz w:val="20"/>
                <w:szCs w:val="20"/>
              </w:rPr>
              <w:t>Akreditasi RS</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color w:val="000000"/>
                <w:sz w:val="20"/>
                <w:szCs w:val="20"/>
              </w:rPr>
            </w:pPr>
            <w:r>
              <w:rPr>
                <w:rFonts w:cs="Arial"/>
                <w:color w:val="000000"/>
                <w:sz w:val="20"/>
                <w:szCs w:val="20"/>
              </w:rPr>
              <w:t>Tingkat Kepuasan Pasien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tcBorders>
          </w:tcPr>
          <w:p>
            <w:pPr>
              <w:tabs>
                <w:tab w:val="left" w:pos="4678"/>
              </w:tabs>
              <w:spacing w:after="0" w:line="240" w:lineRule="auto"/>
              <w:jc w:val="both"/>
              <w:rPr>
                <w:rFonts w:cs="Calibri"/>
                <w:color w:val="000000"/>
                <w:sz w:val="2"/>
                <w:szCs w:val="2"/>
              </w:rPr>
            </w:pPr>
          </w:p>
        </w:tc>
        <w:tc>
          <w:tcPr>
            <w:tcW w:w="818" w:type="dxa"/>
            <w:gridSpan w:val="4"/>
            <w:tcBorders>
              <w:top w:val="single" w:color="1F497D" w:sz="4" w:space="0"/>
            </w:tcBorders>
          </w:tcPr>
          <w:p>
            <w:pPr>
              <w:tabs>
                <w:tab w:val="left" w:pos="4678"/>
              </w:tabs>
              <w:spacing w:after="0" w:line="240" w:lineRule="auto"/>
              <w:jc w:val="both"/>
              <w:rPr>
                <w:rFonts w:cs="Calibri"/>
                <w:color w:val="000000"/>
                <w:sz w:val="2"/>
                <w:szCs w:val="2"/>
              </w:rPr>
            </w:pPr>
          </w:p>
        </w:tc>
        <w:tc>
          <w:tcPr>
            <w:tcW w:w="760" w:type="dxa"/>
            <w:gridSpan w:val="6"/>
            <w:tcBorders>
              <w:top w:val="single" w:color="1F497D" w:sz="4" w:space="0"/>
            </w:tcBorders>
          </w:tcPr>
          <w:p>
            <w:pPr>
              <w:tabs>
                <w:tab w:val="left" w:pos="4678"/>
              </w:tabs>
              <w:spacing w:after="0" w:line="240" w:lineRule="auto"/>
              <w:jc w:val="both"/>
              <w:rPr>
                <w:rFonts w:cs="Calibri"/>
                <w:color w:val="000000"/>
                <w:sz w:val="2"/>
                <w:szCs w:val="2"/>
              </w:rPr>
            </w:pPr>
          </w:p>
        </w:tc>
        <w:tc>
          <w:tcPr>
            <w:tcW w:w="793" w:type="dxa"/>
            <w:gridSpan w:val="6"/>
            <w:tcBorders>
              <w:top w:val="single" w:color="1F497D" w:sz="4" w:space="0"/>
            </w:tcBorders>
          </w:tcPr>
          <w:p>
            <w:pPr>
              <w:tabs>
                <w:tab w:val="left" w:pos="4678"/>
              </w:tabs>
              <w:spacing w:after="0" w:line="240" w:lineRule="auto"/>
              <w:jc w:val="both"/>
              <w:rPr>
                <w:rFonts w:cs="Calibri"/>
                <w:color w:val="000000"/>
                <w:sz w:val="2"/>
                <w:szCs w:val="2"/>
              </w:rPr>
            </w:pPr>
          </w:p>
        </w:tc>
        <w:tc>
          <w:tcPr>
            <w:tcW w:w="944" w:type="dxa"/>
            <w:gridSpan w:val="5"/>
            <w:tcBorders>
              <w:top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14"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96"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65"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160"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Pengakuan lembaga akreditasi independen yang diakui pemerintah melalui suatu penilaian bahwa RSHS/FK UP telah memenuhi standard nasional</w:t>
            </w:r>
            <w:r>
              <w:rPr>
                <w:rFonts w:cs="Arial"/>
                <w:sz w:val="20"/>
                <w:szCs w:val="20"/>
                <w:lang w:val="id-ID"/>
              </w:rPr>
              <w:t xml:space="preserve"> (KARS, RS Pendidikn, WBBM)</w:t>
            </w:r>
            <w:r>
              <w:rPr>
                <w:rFonts w:cs="Arial"/>
                <w:sz w:val="20"/>
                <w:szCs w:val="20"/>
              </w:rPr>
              <w:t xml:space="preserve"> dan internasional </w:t>
            </w:r>
            <w:r>
              <w:rPr>
                <w:rFonts w:cs="Arial"/>
                <w:sz w:val="20"/>
                <w:szCs w:val="20"/>
                <w:lang w:val="id-ID"/>
              </w:rPr>
              <w:t xml:space="preserve"> (JCI) </w:t>
            </w:r>
            <w:r>
              <w:rPr>
                <w:rFonts w:cs="Arial"/>
                <w:sz w:val="20"/>
                <w:szCs w:val="20"/>
              </w:rPr>
              <w:t>dalam memberikan pelayanan, pendidikan dan penelitiannya secara berkesinambungan</w:t>
            </w:r>
          </w:p>
          <w:p>
            <w:pPr>
              <w:tabs>
                <w:tab w:val="left" w:pos="4678"/>
              </w:tabs>
              <w:spacing w:after="0" w:line="240" w:lineRule="auto"/>
              <w:jc w:val="both"/>
              <w:rPr>
                <w:rFonts w:cs="Arial"/>
                <w:sz w:val="20"/>
                <w:szCs w:val="20"/>
              </w:rPr>
            </w:pPr>
          </w:p>
          <w:p>
            <w:pPr>
              <w:spacing w:after="0" w:line="240" w:lineRule="auto"/>
              <w:jc w:val="both"/>
              <w:rPr>
                <w:rFonts w:cs="Arial"/>
                <w:sz w:val="20"/>
                <w:szCs w:val="20"/>
              </w:rPr>
            </w:pPr>
          </w:p>
          <w:p>
            <w:pPr>
              <w:spacing w:after="0" w:line="240" w:lineRule="auto"/>
              <w:jc w:val="both"/>
              <w:rPr>
                <w:rFonts w:cs="Arial"/>
                <w:sz w:val="20"/>
                <w:szCs w:val="20"/>
              </w:rPr>
            </w:pPr>
          </w:p>
          <w:p>
            <w:pPr>
              <w:spacing w:after="0" w:line="240" w:lineRule="auto"/>
              <w:jc w:val="both"/>
              <w:rPr>
                <w:rFonts w:cs="Arial"/>
                <w:sz w:val="20"/>
                <w:szCs w:val="20"/>
              </w:rPr>
            </w:pPr>
          </w:p>
          <w:p>
            <w:pPr>
              <w:spacing w:after="0" w:line="240" w:lineRule="auto"/>
              <w:jc w:val="both"/>
              <w:rPr>
                <w:rFonts w:cs="Arial"/>
                <w:sz w:val="20"/>
                <w:szCs w:val="20"/>
              </w:rPr>
            </w:pPr>
          </w:p>
          <w:p>
            <w:pPr>
              <w:spacing w:after="0" w:line="240" w:lineRule="auto"/>
              <w:jc w:val="both"/>
              <w:rPr>
                <w:rFonts w:cs="Calibri"/>
                <w:color w:val="000000"/>
                <w:sz w:val="20"/>
                <w:szCs w:val="20"/>
              </w:rPr>
            </w:pP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Kepuasan pasien adalah pernyataan tentang persepsi pasien terhadap pelayanan kesehatan yang diberikan oleh RS mengacu pada instrumen Indeks Kepuasan Masyarakat (IKM) yang diterbitkan oleh KepMenPan nomor KEP-25/M.PAN/2/2004.</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14"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896"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765"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N/A</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KepMenPan nomor KEP-25/M.PAN/2/2004</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14"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896"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765"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7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14"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896"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765"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Ketua Komite Mutu</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lang w:val="id-ID"/>
              </w:rPr>
              <w:t>Direktur Umum dan Operasional</w:t>
            </w:r>
            <w:r>
              <w:rPr>
                <w:rFonts w:cs="Arial"/>
                <w:sz w:val="20"/>
                <w:szCs w:val="20"/>
              </w:rPr>
              <w:t xml:space="preserve"> RSHS</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340" w:type="dxa"/>
            <w:gridSpan w:val="2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left w:val="nil"/>
              <w:right w:val="single" w:color="1F497D" w:sz="4" w:space="0"/>
            </w:tcBorders>
          </w:tcPr>
          <w:p>
            <w:pPr>
              <w:tabs>
                <w:tab w:val="left" w:pos="4678"/>
              </w:tabs>
              <w:spacing w:after="0" w:line="240" w:lineRule="auto"/>
              <w:rPr>
                <w:rFonts w:cs="Calibri"/>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659" w:type="dxa"/>
            <w:gridSpan w:val="2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Arial"/>
                <w:sz w:val="20"/>
                <w:szCs w:val="20"/>
              </w:rPr>
            </w:pPr>
            <w:r>
              <w:rPr>
                <w:rFonts w:cs="Arial"/>
                <w:sz w:val="20"/>
                <w:szCs w:val="20"/>
              </w:rPr>
              <w:t>Komite Mutu dan Keselamatan Pasien</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Hasil survei kepuasan pelanggan di rawat inap, rawat jalan dan IGD</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914"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896" w:type="dxa"/>
            <w:gridSpan w:val="6"/>
            <w:tcBorders>
              <w:bottom w:val="single" w:color="1F497D" w:sz="4" w:space="0"/>
            </w:tcBorders>
          </w:tcPr>
          <w:p>
            <w:pPr>
              <w:tabs>
                <w:tab w:val="left" w:pos="4678"/>
              </w:tabs>
              <w:spacing w:after="0" w:line="240" w:lineRule="auto"/>
              <w:jc w:val="both"/>
              <w:rPr>
                <w:rFonts w:cs="Calibri"/>
                <w:color w:val="000000"/>
                <w:sz w:val="2"/>
                <w:szCs w:val="2"/>
              </w:rPr>
            </w:pPr>
          </w:p>
        </w:tc>
        <w:tc>
          <w:tcPr>
            <w:tcW w:w="765"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1160"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18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340" w:type="dxa"/>
            <w:gridSpan w:val="22"/>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Tahunan</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59"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 xml:space="preserve">  6 bulanan</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auto" w:sz="4" w:space="0"/>
            </w:tcBorders>
          </w:tcPr>
          <w:p>
            <w:pPr>
              <w:tabs>
                <w:tab w:val="left" w:pos="4678"/>
              </w:tabs>
              <w:spacing w:after="0" w:line="240" w:lineRule="auto"/>
              <w:rPr>
                <w:rFonts w:cs="Calibri"/>
                <w:color w:val="000000"/>
                <w:sz w:val="2"/>
                <w:szCs w:val="2"/>
              </w:rPr>
            </w:pPr>
          </w:p>
        </w:tc>
        <w:tc>
          <w:tcPr>
            <w:tcW w:w="914" w:type="dxa"/>
            <w:gridSpan w:val="6"/>
            <w:tcBorders>
              <w:bottom w:val="single" w:color="auto" w:sz="4" w:space="0"/>
            </w:tcBorders>
          </w:tcPr>
          <w:p>
            <w:pPr>
              <w:tabs>
                <w:tab w:val="left" w:pos="4678"/>
              </w:tabs>
              <w:spacing w:after="0" w:line="240" w:lineRule="auto"/>
              <w:rPr>
                <w:rFonts w:cs="Calibri"/>
                <w:color w:val="000000"/>
                <w:sz w:val="2"/>
                <w:szCs w:val="2"/>
              </w:rPr>
            </w:pPr>
          </w:p>
        </w:tc>
        <w:tc>
          <w:tcPr>
            <w:tcW w:w="896" w:type="dxa"/>
            <w:gridSpan w:val="6"/>
            <w:tcBorders>
              <w:bottom w:val="single" w:color="auto" w:sz="4" w:space="0"/>
            </w:tcBorders>
          </w:tcPr>
          <w:p>
            <w:pPr>
              <w:tabs>
                <w:tab w:val="left" w:pos="4678"/>
              </w:tabs>
              <w:spacing w:after="0" w:line="240" w:lineRule="auto"/>
              <w:rPr>
                <w:rFonts w:cs="Calibri"/>
                <w:color w:val="000000"/>
                <w:sz w:val="2"/>
                <w:szCs w:val="2"/>
              </w:rPr>
            </w:pPr>
          </w:p>
        </w:tc>
        <w:tc>
          <w:tcPr>
            <w:tcW w:w="765" w:type="dxa"/>
            <w:gridSpan w:val="5"/>
            <w:tcBorders>
              <w:bottom w:val="single" w:color="auto" w:sz="4" w:space="0"/>
            </w:tcBorders>
          </w:tcPr>
          <w:p>
            <w:pPr>
              <w:tabs>
                <w:tab w:val="left" w:pos="4678"/>
              </w:tabs>
              <w:spacing w:after="0" w:line="240" w:lineRule="auto"/>
              <w:rPr>
                <w:rFonts w:cs="Calibri"/>
                <w:color w:val="000000"/>
                <w:sz w:val="2"/>
                <w:szCs w:val="2"/>
              </w:rPr>
            </w:pPr>
          </w:p>
        </w:tc>
        <w:tc>
          <w:tcPr>
            <w:tcW w:w="1160" w:type="dxa"/>
            <w:gridSpan w:val="5"/>
            <w:tcBorders>
              <w:bottom w:val="single" w:color="auto" w:sz="4" w:space="0"/>
            </w:tcBorders>
          </w:tcPr>
          <w:p>
            <w:pPr>
              <w:tabs>
                <w:tab w:val="left" w:pos="4678"/>
              </w:tabs>
              <w:spacing w:after="0" w:line="240" w:lineRule="auto"/>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6"/>
          <w:wAfter w:w="743" w:type="dxa"/>
          <w:trHeight w:val="21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4340" w:type="dxa"/>
            <w:gridSpan w:val="22"/>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cs="Calibri"/>
                <w:color w:val="000000"/>
              </w:rPr>
            </w:pPr>
          </w:p>
        </w:tc>
        <w:tc>
          <w:tcPr>
            <w:tcW w:w="294" w:type="dxa"/>
            <w:gridSpan w:val="2"/>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769" w:type="dxa"/>
            <w:gridSpan w:val="5"/>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659" w:type="dxa"/>
            <w:gridSpan w:val="27"/>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color w:val="000000"/>
                <w:sz w:val="20"/>
                <w:szCs w:val="20"/>
              </w:rPr>
            </w:pPr>
            <w:r>
              <w:rPr>
                <w:color w:val="000000"/>
                <w:sz w:val="20"/>
                <w:szCs w:val="20"/>
              </w:rPr>
              <w:t>Rata rata  IKM : 73  (baik)</w:t>
            </w:r>
          </w:p>
        </w:tc>
        <w:tc>
          <w:tcPr>
            <w:tcW w:w="262" w:type="dxa"/>
            <w:gridSpan w:val="3"/>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6"/>
          <w:wAfter w:w="743"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1025"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818" w:type="dxa"/>
            <w:gridSpan w:val="4"/>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760" w:type="dxa"/>
            <w:gridSpan w:val="6"/>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793" w:type="dxa"/>
            <w:gridSpan w:val="6"/>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944" w:type="dxa"/>
            <w:gridSpan w:val="5"/>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294"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769" w:type="dxa"/>
            <w:gridSpan w:val="5"/>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24"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914"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896" w:type="dxa"/>
            <w:gridSpan w:val="6"/>
            <w:tcBorders>
              <w:bottom w:val="single" w:color="1F497D" w:sz="4" w:space="0"/>
            </w:tcBorders>
          </w:tcPr>
          <w:p>
            <w:pPr>
              <w:tabs>
                <w:tab w:val="left" w:pos="4678"/>
              </w:tabs>
              <w:spacing w:after="0" w:line="240" w:lineRule="auto"/>
              <w:rPr>
                <w:rFonts w:cs="Calibri"/>
                <w:color w:val="000000"/>
                <w:sz w:val="2"/>
                <w:szCs w:val="2"/>
              </w:rPr>
            </w:pPr>
          </w:p>
        </w:tc>
        <w:tc>
          <w:tcPr>
            <w:tcW w:w="765"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1160"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262" w:type="dxa"/>
            <w:gridSpan w:val="3"/>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025" w:type="dxa"/>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02"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934"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857"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622" w:type="dxa"/>
            <w:gridSpan w:val="3"/>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044"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1034"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880"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709"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992" w:type="dxa"/>
            <w:gridSpan w:val="4"/>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rPr>
                <w:rFonts w:cs="Calibri"/>
                <w:b/>
                <w:bCs/>
                <w:color w:val="000000"/>
                <w:sz w:val="20"/>
                <w:szCs w:val="20"/>
              </w:rPr>
            </w:pPr>
            <w:r>
              <w:rPr>
                <w:rFonts w:cs="Calibri"/>
                <w:b/>
                <w:bCs/>
                <w:color w:val="000000"/>
                <w:sz w:val="20"/>
                <w:szCs w:val="20"/>
              </w:rPr>
              <w:t xml:space="preserve">2019 </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025" w:type="dxa"/>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JCI</w:t>
            </w:r>
            <w:r>
              <w:rPr>
                <w:rFonts w:cs="Arial"/>
                <w:sz w:val="20"/>
                <w:szCs w:val="20"/>
              </w:rPr>
              <w:t xml:space="preserve"> (RSHS)</w:t>
            </w:r>
          </w:p>
        </w:tc>
        <w:tc>
          <w:tcPr>
            <w:tcW w:w="902"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 xml:space="preserve">JCI </w:t>
            </w:r>
          </w:p>
        </w:tc>
        <w:tc>
          <w:tcPr>
            <w:tcW w:w="934"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KARS</w:t>
            </w:r>
          </w:p>
        </w:tc>
        <w:tc>
          <w:tcPr>
            <w:tcW w:w="857"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KARS</w:t>
            </w:r>
          </w:p>
        </w:tc>
        <w:tc>
          <w:tcPr>
            <w:tcW w:w="622"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rPr>
            </w:pPr>
            <w:r>
              <w:rPr>
                <w:rFonts w:cs="Arial"/>
                <w:sz w:val="20"/>
                <w:szCs w:val="20"/>
              </w:rPr>
              <w:t xml:space="preserve">JCI </w:t>
            </w:r>
          </w:p>
        </w:tc>
        <w:tc>
          <w:tcPr>
            <w:tcW w:w="294"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780"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69" w:type="dxa"/>
            <w:gridSpan w:val="5"/>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1044" w:type="dxa"/>
            <w:gridSpan w:val="6"/>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sz w:val="20"/>
                <w:szCs w:val="20"/>
                <w:lang w:val="id-ID"/>
              </w:rPr>
            </w:pPr>
            <w:r>
              <w:rPr>
                <w:rFonts w:cs="Arial"/>
                <w:sz w:val="20"/>
                <w:szCs w:val="20"/>
                <w:lang w:val="id-ID"/>
              </w:rPr>
              <w:t>75</w:t>
            </w:r>
          </w:p>
        </w:tc>
        <w:tc>
          <w:tcPr>
            <w:tcW w:w="1034" w:type="dxa"/>
            <w:gridSpan w:val="7"/>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sz w:val="20"/>
                <w:szCs w:val="20"/>
                <w:lang w:val="id-ID"/>
              </w:rPr>
            </w:pPr>
            <w:r>
              <w:rPr>
                <w:rFonts w:cs="Arial"/>
                <w:sz w:val="20"/>
                <w:szCs w:val="20"/>
                <w:lang w:val="id-ID"/>
              </w:rPr>
              <w:t>78</w:t>
            </w:r>
          </w:p>
        </w:tc>
        <w:tc>
          <w:tcPr>
            <w:tcW w:w="880"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75</w:t>
            </w:r>
          </w:p>
        </w:tc>
        <w:tc>
          <w:tcPr>
            <w:tcW w:w="709"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80</w:t>
            </w:r>
          </w:p>
        </w:tc>
        <w:tc>
          <w:tcPr>
            <w:tcW w:w="992"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82</w:t>
            </w:r>
          </w:p>
        </w:tc>
        <w:tc>
          <w:tcPr>
            <w:tcW w:w="262"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6"/>
          <w:wAfter w:w="743" w:type="dxa"/>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6447" w:type="dxa"/>
            <w:gridSpan w:val="24"/>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94"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780" w:type="dxa"/>
            <w:gridSpan w:val="4"/>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3"/>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711" w:type="dxa"/>
            <w:gridSpan w:val="33"/>
            <w:tcBorders>
              <w:bottom w:val="single" w:color="1F497D" w:sz="4" w:space="0"/>
            </w:tcBorders>
          </w:tcPr>
          <w:p>
            <w:pPr>
              <w:tabs>
                <w:tab w:val="left" w:pos="4678"/>
              </w:tabs>
              <w:spacing w:after="0" w:line="240" w:lineRule="auto"/>
              <w:rPr>
                <w:rFonts w:cs="Calibri"/>
                <w:color w:val="000000"/>
                <w:sz w:val="2"/>
                <w:szCs w:val="18"/>
              </w:rPr>
            </w:pPr>
          </w:p>
        </w:tc>
        <w:tc>
          <w:tcPr>
            <w:tcW w:w="262" w:type="dxa"/>
            <w:gridSpan w:val="3"/>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bl>
    <w:p>
      <w:r>
        <w:rPr>
          <w:b/>
        </w:rPr>
        <w:br w:type="page"/>
      </w:r>
    </w:p>
    <w:tbl>
      <w:tblPr>
        <w:tblStyle w:val="26"/>
        <w:tblW w:w="14574" w:type="dxa"/>
        <w:jc w:val="center"/>
        <w:tblInd w:w="0" w:type="dxa"/>
        <w:tblLayout w:type="fixed"/>
        <w:tblCellMar>
          <w:top w:w="0" w:type="dxa"/>
          <w:left w:w="108" w:type="dxa"/>
          <w:bottom w:w="0" w:type="dxa"/>
          <w:right w:w="108" w:type="dxa"/>
        </w:tblCellMar>
      </w:tblPr>
      <w:tblGrid>
        <w:gridCol w:w="266"/>
        <w:gridCol w:w="1823"/>
        <w:gridCol w:w="283"/>
        <w:gridCol w:w="1025"/>
        <w:gridCol w:w="232"/>
        <w:gridCol w:w="586"/>
        <w:gridCol w:w="676"/>
        <w:gridCol w:w="349"/>
        <w:gridCol w:w="535"/>
        <w:gridCol w:w="316"/>
        <w:gridCol w:w="622"/>
        <w:gridCol w:w="208"/>
        <w:gridCol w:w="54"/>
        <w:gridCol w:w="401"/>
        <w:gridCol w:w="9"/>
        <w:gridCol w:w="260"/>
        <w:gridCol w:w="1805"/>
        <w:gridCol w:w="283"/>
        <w:gridCol w:w="800"/>
        <w:gridCol w:w="160"/>
        <w:gridCol w:w="674"/>
        <w:gridCol w:w="158"/>
        <w:gridCol w:w="689"/>
        <w:gridCol w:w="162"/>
        <w:gridCol w:w="566"/>
        <w:gridCol w:w="426"/>
        <w:gridCol w:w="944"/>
        <w:gridCol w:w="211"/>
        <w:gridCol w:w="51"/>
      </w:tblGrid>
      <w:tr>
        <w:tblPrEx>
          <w:tblLayout w:type="fixed"/>
          <w:tblCellMar>
            <w:top w:w="0" w:type="dxa"/>
            <w:left w:w="108" w:type="dxa"/>
            <w:bottom w:w="0" w:type="dxa"/>
            <w:right w:w="108" w:type="dxa"/>
          </w:tblCellMar>
        </w:tblPrEx>
        <w:trPr>
          <w:gridAfter w:val="1"/>
          <w:wAfter w:w="51" w:type="dxa"/>
          <w:trHeight w:val="20" w:hRule="atLeast"/>
          <w:jc w:val="center"/>
        </w:trPr>
        <w:tc>
          <w:tcPr>
            <w:tcW w:w="6921" w:type="dxa"/>
            <w:gridSpan w:val="12"/>
            <w:tcBorders>
              <w:bottom w:val="single" w:color="1F497D" w:sz="4" w:space="0"/>
            </w:tcBorders>
            <w:shd w:val="clear" w:color="auto" w:fill="EBCC6E"/>
            <w:vAlign w:val="center"/>
          </w:tcPr>
          <w:p>
            <w:pPr>
              <w:pStyle w:val="40"/>
              <w:tabs>
                <w:tab w:val="left" w:pos="4678"/>
              </w:tabs>
              <w:spacing w:before="40"/>
              <w:rPr>
                <w:rFonts w:eastAsia="Times New Roman"/>
                <w:color w:val="FF0000"/>
                <w:lang w:val="sv-SE"/>
              </w:rPr>
            </w:pPr>
            <w:r>
              <w:t xml:space="preserve">KPI-7. </w:t>
            </w:r>
            <w:r>
              <w:rPr>
                <w:rFonts w:cs="Arial"/>
                <w:color w:val="000000"/>
              </w:rPr>
              <w:t>Tingkat Kepuasan Peserta Didik</w:t>
            </w:r>
            <w:r>
              <w:rPr>
                <w:rFonts w:cs="Arial"/>
                <w:color w:val="FF0000"/>
              </w:rPr>
              <w:tab/>
            </w:r>
          </w:p>
        </w:tc>
        <w:tc>
          <w:tcPr>
            <w:tcW w:w="464" w:type="dxa"/>
            <w:gridSpan w:val="3"/>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138" w:type="dxa"/>
            <w:gridSpan w:val="13"/>
            <w:tcBorders>
              <w:bottom w:val="single" w:color="1F497D" w:sz="4" w:space="0"/>
            </w:tcBorders>
            <w:shd w:val="clear" w:color="auto" w:fill="EBCC6E"/>
          </w:tcPr>
          <w:p>
            <w:pPr>
              <w:pStyle w:val="40"/>
              <w:tabs>
                <w:tab w:val="left" w:pos="4678"/>
              </w:tabs>
              <w:spacing w:before="40"/>
            </w:pPr>
            <w:r>
              <w:t xml:space="preserve">KPI-8. </w:t>
            </w:r>
            <w:r>
              <w:rPr>
                <w:rFonts w:cs="Arial"/>
                <w:color w:val="000000"/>
              </w:rPr>
              <w:t>% keberhasilan penanganan kasus severity level 2 dan 3 pada layanan unggulan</w:t>
            </w:r>
          </w:p>
        </w:tc>
      </w:tr>
      <w:tr>
        <w:tblPrEx>
          <w:tblLayout w:type="fixed"/>
          <w:tblCellMar>
            <w:top w:w="0" w:type="dxa"/>
            <w:left w:w="108" w:type="dxa"/>
            <w:bottom w:w="0" w:type="dxa"/>
            <w:right w:w="108" w:type="dxa"/>
          </w:tblCellMar>
        </w:tblPrEx>
        <w:trPr>
          <w:trHeight w:val="2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FF0000"/>
                <w:sz w:val="4"/>
                <w:szCs w:val="10"/>
              </w:rPr>
            </w:pPr>
          </w:p>
        </w:tc>
        <w:tc>
          <w:tcPr>
            <w:tcW w:w="1823" w:type="dxa"/>
            <w:tcBorders>
              <w:top w:val="single" w:color="1F497D" w:sz="4" w:space="0"/>
            </w:tcBorders>
          </w:tcPr>
          <w:p>
            <w:pPr>
              <w:tabs>
                <w:tab w:val="left" w:pos="4678"/>
              </w:tabs>
              <w:spacing w:after="0" w:line="240" w:lineRule="auto"/>
              <w:rPr>
                <w:rFonts w:cs="Calibri"/>
                <w:b/>
                <w:bCs/>
                <w:color w:val="FF0000"/>
                <w:sz w:val="4"/>
                <w:szCs w:val="10"/>
              </w:rPr>
            </w:pPr>
          </w:p>
        </w:tc>
        <w:tc>
          <w:tcPr>
            <w:tcW w:w="283" w:type="dxa"/>
            <w:tcBorders>
              <w:top w:val="single" w:color="1F497D" w:sz="4" w:space="0"/>
            </w:tcBorders>
          </w:tcPr>
          <w:p>
            <w:pPr>
              <w:tabs>
                <w:tab w:val="left" w:pos="4678"/>
              </w:tabs>
              <w:spacing w:after="0" w:line="240" w:lineRule="auto"/>
              <w:rPr>
                <w:rFonts w:cs="Calibri"/>
                <w:b/>
                <w:bCs/>
                <w:color w:val="FF0000"/>
                <w:sz w:val="4"/>
                <w:szCs w:val="10"/>
              </w:rPr>
            </w:pPr>
          </w:p>
        </w:tc>
        <w:tc>
          <w:tcPr>
            <w:tcW w:w="4341" w:type="dxa"/>
            <w:gridSpan w:val="8"/>
            <w:tcBorders>
              <w:top w:val="single" w:color="1F497D" w:sz="4" w:space="0"/>
            </w:tcBorders>
          </w:tcPr>
          <w:p>
            <w:pPr>
              <w:tabs>
                <w:tab w:val="left" w:pos="4678"/>
              </w:tabs>
              <w:spacing w:after="0" w:line="240" w:lineRule="auto"/>
              <w:rPr>
                <w:rFonts w:cs="Calibri"/>
                <w:b/>
                <w:bCs/>
                <w:color w:val="FF0000"/>
                <w:sz w:val="4"/>
                <w:szCs w:val="10"/>
              </w:rPr>
            </w:pPr>
          </w:p>
        </w:tc>
        <w:tc>
          <w:tcPr>
            <w:tcW w:w="262"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9"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05" w:type="dxa"/>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4579" w:type="dxa"/>
            <w:gridSpan w:val="9"/>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trHeight w:val="19"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283" w:type="dxa"/>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1257" w:type="dxa"/>
            <w:gridSpan w:val="2"/>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586" w:type="dxa"/>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676" w:type="dxa"/>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884" w:type="dxa"/>
            <w:gridSpan w:val="2"/>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938" w:type="dxa"/>
            <w:gridSpan w:val="2"/>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60" w:type="dxa"/>
            <w:gridSpan w:val="2"/>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674" w:type="dxa"/>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47" w:type="dxa"/>
            <w:gridSpan w:val="2"/>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728" w:type="dxa"/>
            <w:gridSpan w:val="2"/>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370" w:type="dxa"/>
            <w:gridSpan w:val="2"/>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lang w:val="id-ID"/>
              </w:rPr>
              <w:t>Stakeholder</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jc w:val="both"/>
              <w:rPr>
                <w:rFonts w:cs="Calibri"/>
                <w:i/>
                <w:iCs/>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4579" w:type="dxa"/>
            <w:gridSpan w:val="9"/>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RSHS sebagai pilihan utama masyarakat</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layanan unggulan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p>
        </w:tc>
        <w:tc>
          <w:tcPr>
            <w:tcW w:w="1823"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Cs/>
                <w:sz w:val="2"/>
                <w:szCs w:val="2"/>
              </w:rPr>
            </w:pPr>
          </w:p>
        </w:tc>
        <w:tc>
          <w:tcPr>
            <w:tcW w:w="4341" w:type="dxa"/>
            <w:gridSpan w:val="8"/>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579" w:type="dxa"/>
            <w:gridSpan w:val="9"/>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color w:val="000000"/>
                <w:sz w:val="20"/>
                <w:szCs w:val="20"/>
              </w:rPr>
            </w:pPr>
            <w:r>
              <w:rPr>
                <w:rFonts w:cs="Arial"/>
                <w:bCs/>
                <w:color w:val="000000"/>
                <w:sz w:val="20"/>
                <w:szCs w:val="20"/>
              </w:rPr>
              <w:t>Tingkat Kepuasan Peserta Didik</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asciiTheme="minorHAnsi" w:hAnsiTheme="minorHAnsi"/>
                <w:color w:val="000000"/>
                <w:sz w:val="18"/>
                <w:szCs w:val="18"/>
              </w:rPr>
            </w:pPr>
            <w:r>
              <w:rPr>
                <w:rFonts w:cs="Arial" w:asciiTheme="minorHAnsi" w:hAnsiTheme="minorHAnsi"/>
                <w:color w:val="000000"/>
                <w:sz w:val="18"/>
                <w:szCs w:val="18"/>
              </w:rPr>
              <w:t xml:space="preserve">% keberhasilan penanganan kasus </w:t>
            </w:r>
            <w:r>
              <w:rPr>
                <w:rFonts w:cs="Arial" w:asciiTheme="minorHAnsi" w:hAnsiTheme="minorHAnsi"/>
                <w:sz w:val="18"/>
                <w:szCs w:val="18"/>
                <w:lang w:val="id-ID" w:eastAsia="id-ID"/>
              </w:rPr>
              <w:t>severity level 2 dan 3</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tcBorders>
          </w:tcPr>
          <w:p>
            <w:pPr>
              <w:tabs>
                <w:tab w:val="left" w:pos="4678"/>
              </w:tabs>
              <w:spacing w:after="0" w:line="240" w:lineRule="auto"/>
              <w:jc w:val="both"/>
              <w:rPr>
                <w:rFonts w:cs="Calibri"/>
                <w:color w:val="000000"/>
                <w:sz w:val="2"/>
                <w:szCs w:val="2"/>
              </w:rPr>
            </w:pPr>
          </w:p>
        </w:tc>
        <w:tc>
          <w:tcPr>
            <w:tcW w:w="586" w:type="dxa"/>
            <w:tcBorders>
              <w:top w:val="single" w:color="1F497D" w:sz="4" w:space="0"/>
            </w:tcBorders>
          </w:tcPr>
          <w:p>
            <w:pPr>
              <w:tabs>
                <w:tab w:val="left" w:pos="4678"/>
              </w:tabs>
              <w:spacing w:after="0" w:line="240" w:lineRule="auto"/>
              <w:jc w:val="both"/>
              <w:rPr>
                <w:rFonts w:cs="Calibri"/>
                <w:color w:val="000000"/>
                <w:sz w:val="2"/>
                <w:szCs w:val="2"/>
              </w:rPr>
            </w:pPr>
          </w:p>
        </w:tc>
        <w:tc>
          <w:tcPr>
            <w:tcW w:w="676" w:type="dxa"/>
            <w:tcBorders>
              <w:top w:val="single" w:color="1F497D" w:sz="4" w:space="0"/>
            </w:tcBorders>
          </w:tcPr>
          <w:p>
            <w:pPr>
              <w:tabs>
                <w:tab w:val="left" w:pos="4678"/>
              </w:tabs>
              <w:spacing w:after="0" w:line="240" w:lineRule="auto"/>
              <w:jc w:val="both"/>
              <w:rPr>
                <w:rFonts w:cs="Calibri"/>
                <w:color w:val="000000"/>
                <w:sz w:val="2"/>
                <w:szCs w:val="2"/>
              </w:rPr>
            </w:pPr>
          </w:p>
        </w:tc>
        <w:tc>
          <w:tcPr>
            <w:tcW w:w="884" w:type="dxa"/>
            <w:gridSpan w:val="2"/>
            <w:tcBorders>
              <w:top w:val="single" w:color="1F497D" w:sz="4" w:space="0"/>
            </w:tcBorders>
          </w:tcPr>
          <w:p>
            <w:pPr>
              <w:tabs>
                <w:tab w:val="left" w:pos="4678"/>
              </w:tabs>
              <w:spacing w:after="0" w:line="240" w:lineRule="auto"/>
              <w:jc w:val="both"/>
              <w:rPr>
                <w:rFonts w:cs="Calibri"/>
                <w:color w:val="000000"/>
                <w:sz w:val="2"/>
                <w:szCs w:val="2"/>
              </w:rPr>
            </w:pPr>
          </w:p>
        </w:tc>
        <w:tc>
          <w:tcPr>
            <w:tcW w:w="938" w:type="dxa"/>
            <w:gridSpan w:val="2"/>
            <w:tcBorders>
              <w:top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74"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28"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370" w:type="dxa"/>
            <w:gridSpan w:val="2"/>
            <w:tcBorders>
              <w:top w:val="single" w:color="1F497D" w:sz="4" w:space="0"/>
              <w:bottom w:val="single" w:color="1F497D" w:sz="4" w:space="0"/>
            </w:tcBorders>
          </w:tcPr>
          <w:p>
            <w:pPr>
              <w:tabs>
                <w:tab w:val="left" w:pos="4678"/>
              </w:tabs>
              <w:spacing w:after="0" w:line="240" w:lineRule="auto"/>
              <w:jc w:val="both"/>
              <w:rPr>
                <w:rFonts w:cs="Calibri" w:asciiTheme="minorHAnsi" w:hAnsiTheme="minorHAnsi"/>
                <w:color w:val="000000"/>
                <w:sz w:val="20"/>
                <w:szCs w:val="20"/>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Kepuasan pasien adalah pernyataan tentang persepsi pasien terhadap pendidikan, pelatihan yang diberikan oleh RS mengacu pada instrument pengukuran indeks kepuasan peserta didik.</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asciiTheme="minorHAnsi" w:hAnsiTheme="minorHAnsi"/>
                <w:sz w:val="20"/>
                <w:szCs w:val="20"/>
              </w:rPr>
            </w:pPr>
            <w:r>
              <w:rPr>
                <w:rFonts w:cs="Arial" w:asciiTheme="minorHAnsi" w:hAnsiTheme="minorHAnsi"/>
                <w:sz w:val="20"/>
                <w:szCs w:val="20"/>
              </w:rPr>
              <w:t>% keberhasilan penanganan kasus severity level 2 dan 3 adalah persentase pasien dengan kasus severity level 2 dan 3 di rawat inap RSHS yang pulang hidup dengan perbaikan atau sembuh.</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674" w:type="dxa"/>
            <w:tcBorders>
              <w:bottom w:val="single" w:color="1F497D" w:sz="4" w:space="0"/>
            </w:tcBorders>
          </w:tcPr>
          <w:p>
            <w:pPr>
              <w:tabs>
                <w:tab w:val="left" w:pos="4678"/>
              </w:tabs>
              <w:spacing w:after="0" w:line="240" w:lineRule="auto"/>
              <w:jc w:val="both"/>
              <w:rPr>
                <w:rFonts w:cs="Calibri" w:asciiTheme="minorHAnsi" w:hAnsiTheme="minorHAnsi"/>
                <w:color w:val="000000"/>
                <w:sz w:val="20"/>
                <w:szCs w:val="20"/>
              </w:rPr>
            </w:pPr>
          </w:p>
        </w:tc>
        <w:tc>
          <w:tcPr>
            <w:tcW w:w="847"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728"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137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spacing w:after="0" w:line="240" w:lineRule="auto"/>
              <w:rPr>
                <w:rFonts w:cs="Arial" w:asciiTheme="minorHAnsi" w:hAnsiTheme="minorHAnsi"/>
                <w:sz w:val="20"/>
                <w:szCs w:val="20"/>
              </w:rPr>
            </w:pPr>
            <w:r>
              <w:rPr>
                <w:rFonts w:cs="Arial" w:asciiTheme="minorHAnsi" w:hAnsiTheme="minorHAnsi"/>
                <w:sz w:val="20"/>
                <w:szCs w:val="20"/>
              </w:rPr>
              <w:t>(keberhasilan penanganan kasus severity level 2 dan 3 yang pulang hidup dengan perbaikan atau sembuh dalam satu periode per seluruh kasus severity level 2 dan 3 dalam periode yang sama ) x 100%</w:t>
            </w: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p>
          <w:p>
            <w:pPr>
              <w:spacing w:after="0" w:line="240" w:lineRule="auto"/>
              <w:rPr>
                <w:rFonts w:cs="Arial" w:asciiTheme="minorHAnsi" w:hAnsiTheme="minorHAnsi"/>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674" w:type="dxa"/>
            <w:tcBorders>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728"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137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674" w:type="dxa"/>
            <w:tcBorders>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728"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137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SDM dan Pendidikan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Medik dan Keperawatan RSHS</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3"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p>
        </w:tc>
        <w:tc>
          <w:tcPr>
            <w:tcW w:w="1823"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Cs/>
                <w:sz w:val="2"/>
                <w:szCs w:val="2"/>
              </w:rPr>
            </w:pPr>
          </w:p>
        </w:tc>
        <w:tc>
          <w:tcPr>
            <w:tcW w:w="4341" w:type="dxa"/>
            <w:gridSpan w:val="8"/>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left w:val="nil"/>
              <w:right w:val="single" w:color="1F497D" w:sz="4" w:space="0"/>
            </w:tcBorders>
          </w:tcPr>
          <w:p>
            <w:pPr>
              <w:tabs>
                <w:tab w:val="left" w:pos="4678"/>
              </w:tabs>
              <w:spacing w:after="0" w:line="240" w:lineRule="auto"/>
              <w:rPr>
                <w:rFonts w:cs="Calibri"/>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579" w:type="dxa"/>
            <w:gridSpan w:val="9"/>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 xml:space="preserve">Survei </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Rekam Medik</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674" w:type="dxa"/>
            <w:tcBorders>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728"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1370" w:type="dxa"/>
            <w:gridSpan w:val="2"/>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186"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4341" w:type="dxa"/>
            <w:gridSpan w:val="8"/>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79" w:type="dxa"/>
            <w:gridSpan w:val="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37"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82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auto" w:sz="4" w:space="0"/>
            </w:tcBorders>
          </w:tcPr>
          <w:p>
            <w:pPr>
              <w:tabs>
                <w:tab w:val="left" w:pos="4678"/>
              </w:tabs>
              <w:spacing w:after="0" w:line="240" w:lineRule="auto"/>
              <w:rPr>
                <w:rFonts w:cs="Calibri"/>
                <w:color w:val="000000"/>
                <w:sz w:val="2"/>
                <w:szCs w:val="2"/>
              </w:rPr>
            </w:pPr>
          </w:p>
        </w:tc>
        <w:tc>
          <w:tcPr>
            <w:tcW w:w="674" w:type="dxa"/>
            <w:tcBorders>
              <w:bottom w:val="single" w:color="auto" w:sz="4" w:space="0"/>
            </w:tcBorders>
          </w:tcPr>
          <w:p>
            <w:pPr>
              <w:tabs>
                <w:tab w:val="left" w:pos="4678"/>
              </w:tabs>
              <w:spacing w:after="0" w:line="240" w:lineRule="auto"/>
              <w:rPr>
                <w:rFonts w:cs="Calibri"/>
                <w:color w:val="000000"/>
                <w:sz w:val="2"/>
                <w:szCs w:val="2"/>
              </w:rPr>
            </w:pPr>
          </w:p>
        </w:tc>
        <w:tc>
          <w:tcPr>
            <w:tcW w:w="847" w:type="dxa"/>
            <w:gridSpan w:val="2"/>
            <w:tcBorders>
              <w:bottom w:val="single" w:color="auto" w:sz="4" w:space="0"/>
            </w:tcBorders>
          </w:tcPr>
          <w:p>
            <w:pPr>
              <w:tabs>
                <w:tab w:val="left" w:pos="4678"/>
              </w:tabs>
              <w:spacing w:after="0" w:line="240" w:lineRule="auto"/>
              <w:rPr>
                <w:rFonts w:cs="Calibri"/>
                <w:color w:val="000000"/>
                <w:sz w:val="2"/>
                <w:szCs w:val="2"/>
              </w:rPr>
            </w:pPr>
          </w:p>
        </w:tc>
        <w:tc>
          <w:tcPr>
            <w:tcW w:w="728" w:type="dxa"/>
            <w:gridSpan w:val="2"/>
            <w:tcBorders>
              <w:bottom w:val="single" w:color="auto" w:sz="4" w:space="0"/>
            </w:tcBorders>
          </w:tcPr>
          <w:p>
            <w:pPr>
              <w:tabs>
                <w:tab w:val="left" w:pos="4678"/>
              </w:tabs>
              <w:spacing w:after="0" w:line="240" w:lineRule="auto"/>
              <w:rPr>
                <w:rFonts w:cs="Calibri"/>
                <w:color w:val="000000"/>
                <w:sz w:val="2"/>
                <w:szCs w:val="2"/>
              </w:rPr>
            </w:pPr>
          </w:p>
        </w:tc>
        <w:tc>
          <w:tcPr>
            <w:tcW w:w="1370" w:type="dxa"/>
            <w:gridSpan w:val="2"/>
            <w:tcBorders>
              <w:bottom w:val="single" w:color="auto"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trHeight w:val="213"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p>
        </w:tc>
        <w:tc>
          <w:tcPr>
            <w:tcW w:w="1823"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sz w:val="20"/>
                <w:szCs w:val="20"/>
                <w:lang w:val="id-ID"/>
              </w:rPr>
            </w:pPr>
            <w:r>
              <w:rPr>
                <w:rFonts w:ascii="Times New Roman" w:hAnsi="Times New Roman"/>
                <w:sz w:val="20"/>
                <w:szCs w:val="20"/>
                <w:lang w:val="id-ID"/>
              </w:rPr>
              <w:t>:</w:t>
            </w:r>
          </w:p>
        </w:tc>
        <w:tc>
          <w:tcPr>
            <w:tcW w:w="4341" w:type="dxa"/>
            <w:gridSpan w:val="8"/>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cs="Calibri"/>
                <w:color w:val="000000"/>
                <w:sz w:val="20"/>
                <w:szCs w:val="20"/>
              </w:rPr>
            </w:pPr>
          </w:p>
        </w:tc>
        <w:tc>
          <w:tcPr>
            <w:tcW w:w="262" w:type="dxa"/>
            <w:gridSpan w:val="2"/>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579" w:type="dxa"/>
            <w:gridSpan w:val="9"/>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color w:val="000000"/>
                <w:sz w:val="20"/>
                <w:szCs w:val="20"/>
                <w:lang w:val="id-ID"/>
              </w:rPr>
            </w:pPr>
            <w:r>
              <w:rPr>
                <w:rFonts w:cs="Calibri"/>
                <w:color w:val="000000"/>
                <w:sz w:val="20"/>
                <w:szCs w:val="20"/>
                <w:lang w:val="id-ID"/>
              </w:rPr>
              <w:t>80.76%</w:t>
            </w:r>
          </w:p>
        </w:tc>
        <w:tc>
          <w:tcPr>
            <w:tcW w:w="262" w:type="dxa"/>
            <w:gridSpan w:val="2"/>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trHeight w:val="37" w:hRule="atLeast"/>
          <w:jc w:val="center"/>
        </w:trPr>
        <w:tc>
          <w:tcPr>
            <w:tcW w:w="266" w:type="dxa"/>
            <w:tcBorders>
              <w:left w:val="single" w:color="1F497D" w:sz="4" w:space="0"/>
            </w:tcBorders>
          </w:tcPr>
          <w:p>
            <w:pPr>
              <w:tabs>
                <w:tab w:val="left" w:pos="4678"/>
              </w:tabs>
              <w:spacing w:after="0" w:line="240" w:lineRule="auto"/>
              <w:rPr>
                <w:rFonts w:cs="Calibri"/>
                <w:color w:val="FF0000"/>
                <w:sz w:val="2"/>
                <w:szCs w:val="2"/>
              </w:rPr>
            </w:pPr>
          </w:p>
        </w:tc>
        <w:tc>
          <w:tcPr>
            <w:tcW w:w="1823"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ascii="Times New Roman" w:hAnsi="Times New Roman"/>
                <w:sz w:val="2"/>
                <w:szCs w:val="2"/>
              </w:rPr>
            </w:pPr>
          </w:p>
        </w:tc>
        <w:tc>
          <w:tcPr>
            <w:tcW w:w="1257"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586"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676" w:type="dxa"/>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884"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938" w:type="dxa"/>
            <w:gridSpan w:val="2"/>
            <w:tcBorders>
              <w:top w:val="single" w:color="1F497D" w:sz="4" w:space="0"/>
              <w:bottom w:val="single" w:color="1F497D"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9"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60" w:type="dxa"/>
            <w:gridSpan w:val="2"/>
            <w:tcBorders>
              <w:bottom w:val="single" w:color="1F497D" w:sz="4" w:space="0"/>
            </w:tcBorders>
          </w:tcPr>
          <w:p>
            <w:pPr>
              <w:tabs>
                <w:tab w:val="left" w:pos="4678"/>
              </w:tabs>
              <w:spacing w:after="0" w:line="240" w:lineRule="auto"/>
              <w:rPr>
                <w:rFonts w:cs="Calibri"/>
                <w:color w:val="000000"/>
                <w:sz w:val="2"/>
                <w:szCs w:val="2"/>
              </w:rPr>
            </w:pPr>
          </w:p>
        </w:tc>
        <w:tc>
          <w:tcPr>
            <w:tcW w:w="674" w:type="dxa"/>
            <w:tcBorders>
              <w:bottom w:val="single" w:color="1F497D" w:sz="4" w:space="0"/>
            </w:tcBorders>
          </w:tcPr>
          <w:p>
            <w:pPr>
              <w:tabs>
                <w:tab w:val="left" w:pos="4678"/>
              </w:tabs>
              <w:spacing w:after="0" w:line="240" w:lineRule="auto"/>
              <w:rPr>
                <w:rFonts w:cs="Calibri"/>
                <w:color w:val="000000"/>
                <w:sz w:val="2"/>
                <w:szCs w:val="2"/>
              </w:rPr>
            </w:pPr>
          </w:p>
        </w:tc>
        <w:tc>
          <w:tcPr>
            <w:tcW w:w="847" w:type="dxa"/>
            <w:gridSpan w:val="2"/>
            <w:tcBorders>
              <w:bottom w:val="single" w:color="1F497D" w:sz="4" w:space="0"/>
            </w:tcBorders>
          </w:tcPr>
          <w:p>
            <w:pPr>
              <w:tabs>
                <w:tab w:val="left" w:pos="4678"/>
              </w:tabs>
              <w:spacing w:after="0" w:line="240" w:lineRule="auto"/>
              <w:rPr>
                <w:rFonts w:cs="Calibri"/>
                <w:color w:val="000000"/>
                <w:sz w:val="2"/>
                <w:szCs w:val="2"/>
              </w:rPr>
            </w:pPr>
          </w:p>
        </w:tc>
        <w:tc>
          <w:tcPr>
            <w:tcW w:w="728" w:type="dxa"/>
            <w:gridSpan w:val="2"/>
            <w:tcBorders>
              <w:bottom w:val="single" w:color="1F497D" w:sz="4" w:space="0"/>
            </w:tcBorders>
          </w:tcPr>
          <w:p>
            <w:pPr>
              <w:tabs>
                <w:tab w:val="left" w:pos="4678"/>
              </w:tabs>
              <w:spacing w:after="0" w:line="240" w:lineRule="auto"/>
              <w:rPr>
                <w:rFonts w:cs="Calibri"/>
                <w:color w:val="000000"/>
                <w:sz w:val="2"/>
                <w:szCs w:val="2"/>
              </w:rPr>
            </w:pPr>
          </w:p>
        </w:tc>
        <w:tc>
          <w:tcPr>
            <w:tcW w:w="1370" w:type="dxa"/>
            <w:gridSpan w:val="2"/>
            <w:tcBorders>
              <w:bottom w:val="single" w:color="1F497D"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tcBorders>
              <w:right w:val="single" w:color="1F497D" w:sz="4" w:space="0"/>
            </w:tcBorders>
          </w:tcPr>
          <w:p>
            <w:pPr>
              <w:tabs>
                <w:tab w:val="left" w:pos="4678"/>
              </w:tabs>
              <w:spacing w:after="0" w:line="240" w:lineRule="auto"/>
              <w:jc w:val="center"/>
              <w:rPr>
                <w:rFonts w:cs="Calibri"/>
                <w:bCs/>
                <w:sz w:val="20"/>
                <w:szCs w:val="20"/>
              </w:rPr>
            </w:pPr>
            <w:r>
              <w:rPr>
                <w:rFonts w:cs="Calibri"/>
                <w:bCs/>
                <w:sz w:val="20"/>
                <w:szCs w:val="20"/>
              </w:rPr>
              <w:t>:</w:t>
            </w:r>
          </w:p>
        </w:tc>
        <w:tc>
          <w:tcPr>
            <w:tcW w:w="1025" w:type="dxa"/>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18"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1025"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851"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622" w:type="dxa"/>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800" w:type="dxa"/>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92" w:type="dxa"/>
            <w:gridSpan w:val="3"/>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851"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92"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944" w:type="dxa"/>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tcBorders>
          </w:tcPr>
          <w:p>
            <w:pPr>
              <w:tabs>
                <w:tab w:val="left" w:pos="4678"/>
              </w:tabs>
              <w:spacing w:after="0" w:line="240" w:lineRule="auto"/>
              <w:rPr>
                <w:rFonts w:cs="Calibri"/>
                <w:color w:val="FF0000"/>
                <w:sz w:val="20"/>
                <w:szCs w:val="20"/>
              </w:rPr>
            </w:pPr>
            <w:r>
              <w:rPr>
                <w:rFonts w:cs="Calibri"/>
                <w:color w:val="FF0000"/>
                <w:sz w:val="20"/>
                <w:szCs w:val="20"/>
              </w:rPr>
              <w:t> </w:t>
            </w:r>
          </w:p>
        </w:tc>
        <w:tc>
          <w:tcPr>
            <w:tcW w:w="1823" w:type="dxa"/>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283" w:type="dxa"/>
            <w:tcBorders>
              <w:right w:val="single" w:color="1F497D" w:sz="4" w:space="0"/>
            </w:tcBorders>
          </w:tcPr>
          <w:p>
            <w:pPr>
              <w:tabs>
                <w:tab w:val="left" w:pos="4678"/>
              </w:tabs>
              <w:spacing w:after="0" w:line="240" w:lineRule="auto"/>
              <w:jc w:val="center"/>
              <w:rPr>
                <w:rFonts w:cs="Calibri"/>
                <w:b/>
                <w:bCs/>
                <w:color w:val="FF0000"/>
                <w:sz w:val="20"/>
                <w:szCs w:val="20"/>
              </w:rPr>
            </w:pPr>
          </w:p>
        </w:tc>
        <w:tc>
          <w:tcPr>
            <w:tcW w:w="1025" w:type="dxa"/>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70</w:t>
            </w:r>
          </w:p>
        </w:tc>
        <w:tc>
          <w:tcPr>
            <w:tcW w:w="818"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74</w:t>
            </w:r>
          </w:p>
        </w:tc>
        <w:tc>
          <w:tcPr>
            <w:tcW w:w="1025"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78</w:t>
            </w:r>
          </w:p>
        </w:tc>
        <w:tc>
          <w:tcPr>
            <w:tcW w:w="851"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78</w:t>
            </w:r>
          </w:p>
        </w:tc>
        <w:tc>
          <w:tcPr>
            <w:tcW w:w="622" w:type="dxa"/>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80</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40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9"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800" w:type="dxa"/>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83</w:t>
            </w:r>
          </w:p>
        </w:tc>
        <w:tc>
          <w:tcPr>
            <w:tcW w:w="992"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90</w:t>
            </w:r>
          </w:p>
        </w:tc>
        <w:tc>
          <w:tcPr>
            <w:tcW w:w="851"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90</w:t>
            </w:r>
          </w:p>
        </w:tc>
        <w:tc>
          <w:tcPr>
            <w:tcW w:w="992"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90</w:t>
            </w:r>
          </w:p>
        </w:tc>
        <w:tc>
          <w:tcPr>
            <w:tcW w:w="944" w:type="dxa"/>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94</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6447" w:type="dxa"/>
            <w:gridSpan w:val="10"/>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401"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9"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667" w:type="dxa"/>
            <w:gridSpan w:val="11"/>
            <w:tcBorders>
              <w:bottom w:val="single" w:color="1F497D" w:sz="4" w:space="0"/>
            </w:tcBorders>
          </w:tcPr>
          <w:p>
            <w:pPr>
              <w:tabs>
                <w:tab w:val="left" w:pos="4678"/>
              </w:tabs>
              <w:spacing w:after="0" w:line="240" w:lineRule="auto"/>
              <w:rPr>
                <w:rFonts w:cs="Calibri"/>
                <w:color w:val="000000"/>
                <w:sz w:val="2"/>
                <w:szCs w:val="18"/>
              </w:rPr>
            </w:pPr>
          </w:p>
        </w:tc>
        <w:tc>
          <w:tcPr>
            <w:tcW w:w="262"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bl>
    <w:p/>
    <w:p/>
    <w:tbl>
      <w:tblPr>
        <w:tblStyle w:val="26"/>
        <w:tblW w:w="15888" w:type="dxa"/>
        <w:jc w:val="center"/>
        <w:tblInd w:w="0" w:type="dxa"/>
        <w:tblLayout w:type="fixed"/>
        <w:tblCellMar>
          <w:top w:w="0" w:type="dxa"/>
          <w:left w:w="108" w:type="dxa"/>
          <w:bottom w:w="0" w:type="dxa"/>
          <w:right w:w="108" w:type="dxa"/>
        </w:tblCellMar>
      </w:tblPr>
      <w:tblGrid>
        <w:gridCol w:w="266"/>
        <w:gridCol w:w="1824"/>
        <w:gridCol w:w="283"/>
        <w:gridCol w:w="13"/>
        <w:gridCol w:w="1153"/>
        <w:gridCol w:w="13"/>
        <w:gridCol w:w="78"/>
        <w:gridCol w:w="13"/>
        <w:gridCol w:w="714"/>
        <w:gridCol w:w="13"/>
        <w:gridCol w:w="663"/>
        <w:gridCol w:w="13"/>
        <w:gridCol w:w="207"/>
        <w:gridCol w:w="129"/>
        <w:gridCol w:w="406"/>
        <w:gridCol w:w="262"/>
        <w:gridCol w:w="195"/>
        <w:gridCol w:w="308"/>
        <w:gridCol w:w="583"/>
        <w:gridCol w:w="262"/>
        <w:gridCol w:w="300"/>
        <w:gridCol w:w="26"/>
        <w:gridCol w:w="242"/>
        <w:gridCol w:w="20"/>
        <w:gridCol w:w="300"/>
        <w:gridCol w:w="268"/>
        <w:gridCol w:w="1217"/>
        <w:gridCol w:w="283"/>
        <w:gridCol w:w="305"/>
        <w:gridCol w:w="283"/>
        <w:gridCol w:w="525"/>
        <w:gridCol w:w="344"/>
        <w:gridCol w:w="91"/>
        <w:gridCol w:w="595"/>
        <w:gridCol w:w="83"/>
        <w:gridCol w:w="65"/>
        <w:gridCol w:w="689"/>
        <w:gridCol w:w="125"/>
        <w:gridCol w:w="53"/>
        <w:gridCol w:w="181"/>
        <w:gridCol w:w="382"/>
        <w:gridCol w:w="228"/>
        <w:gridCol w:w="59"/>
        <w:gridCol w:w="444"/>
        <w:gridCol w:w="552"/>
        <w:gridCol w:w="262"/>
        <w:gridCol w:w="7"/>
        <w:gridCol w:w="292"/>
        <w:gridCol w:w="262"/>
        <w:gridCol w:w="7"/>
      </w:tblGrid>
      <w:tr>
        <w:tblPrEx>
          <w:tblLayout w:type="fixed"/>
          <w:tblCellMar>
            <w:top w:w="0" w:type="dxa"/>
            <w:left w:w="108" w:type="dxa"/>
            <w:bottom w:w="0" w:type="dxa"/>
            <w:right w:w="108" w:type="dxa"/>
          </w:tblCellMar>
        </w:tblPrEx>
        <w:trPr>
          <w:gridAfter w:val="3"/>
          <w:wAfter w:w="561" w:type="dxa"/>
          <w:trHeight w:val="20" w:hRule="atLeast"/>
          <w:jc w:val="center"/>
        </w:trPr>
        <w:tc>
          <w:tcPr>
            <w:tcW w:w="7986" w:type="dxa"/>
            <w:gridSpan w:val="24"/>
            <w:tcBorders>
              <w:bottom w:val="single" w:color="1F497D" w:sz="4" w:space="0"/>
            </w:tcBorders>
            <w:shd w:val="clear" w:color="auto" w:fill="EBCC6E"/>
            <w:vAlign w:val="center"/>
          </w:tcPr>
          <w:p>
            <w:pPr>
              <w:pStyle w:val="40"/>
              <w:tabs>
                <w:tab w:val="left" w:pos="4678"/>
              </w:tabs>
              <w:spacing w:before="40"/>
              <w:rPr>
                <w:rFonts w:eastAsia="Times New Roman"/>
                <w:lang w:val="sv-SE"/>
              </w:rPr>
            </w:pPr>
            <w:r>
              <w:br w:type="page"/>
            </w:r>
            <w:r>
              <w:t>K</w:t>
            </w:r>
            <w:r>
              <w:rPr>
                <w:rFonts w:eastAsia="Times New Roman"/>
                <w:lang w:val="sv-SE"/>
              </w:rPr>
              <w:t xml:space="preserve">PI-9 . </w:t>
            </w:r>
            <w:r>
              <w:rPr>
                <w:rFonts w:cs="Arial"/>
                <w:color w:val="000000"/>
              </w:rPr>
              <w:t>NDR rumah sakit</w:t>
            </w:r>
            <w:r>
              <w:rPr>
                <w:rFonts w:cs="Arial"/>
                <w:color w:val="000000"/>
              </w:rPr>
              <w:tab/>
            </w:r>
          </w:p>
        </w:tc>
        <w:tc>
          <w:tcPr>
            <w:tcW w:w="300" w:type="dxa"/>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041" w:type="dxa"/>
            <w:gridSpan w:val="22"/>
            <w:tcBorders>
              <w:bottom w:val="single" w:color="1F497D" w:sz="4" w:space="0"/>
            </w:tcBorders>
            <w:shd w:val="clear" w:color="auto" w:fill="EBCC6E"/>
          </w:tcPr>
          <w:p>
            <w:pPr>
              <w:pStyle w:val="40"/>
              <w:tabs>
                <w:tab w:val="left" w:pos="4678"/>
              </w:tabs>
              <w:spacing w:before="40"/>
            </w:pPr>
            <w:r>
              <w:t>KPI-</w:t>
            </w:r>
            <w:r>
              <w:rPr>
                <w:lang w:val="id-ID"/>
              </w:rPr>
              <w:t>1</w:t>
            </w:r>
            <w:r>
              <w:t xml:space="preserve">0. </w:t>
            </w:r>
            <w:r>
              <w:rPr>
                <w:rFonts w:cs="Arial"/>
                <w:color w:val="000000"/>
              </w:rPr>
              <w:t>% Kasus rujukan yang tepat</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5351" w:type="dxa"/>
            <w:gridSpan w:val="19"/>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05" w:type="dxa"/>
            <w:gridSpan w:val="3"/>
            <w:tcBorders>
              <w:top w:val="single" w:color="1F497D" w:sz="4" w:space="0"/>
            </w:tcBorders>
          </w:tcPr>
          <w:p>
            <w:pPr>
              <w:tabs>
                <w:tab w:val="left" w:pos="4678"/>
              </w:tabs>
              <w:spacing w:after="0" w:line="240" w:lineRule="auto"/>
              <w:rPr>
                <w:rFonts w:cs="Calibri"/>
                <w:b/>
                <w:bCs/>
                <w:color w:val="000000"/>
                <w:sz w:val="4"/>
                <w:szCs w:val="10"/>
              </w:rPr>
            </w:pPr>
          </w:p>
        </w:tc>
        <w:tc>
          <w:tcPr>
            <w:tcW w:w="283" w:type="dxa"/>
            <w:tcBorders>
              <w:top w:val="single" w:color="1F497D" w:sz="4" w:space="0"/>
            </w:tcBorders>
          </w:tcPr>
          <w:p>
            <w:pPr>
              <w:tabs>
                <w:tab w:val="left" w:pos="4678"/>
              </w:tabs>
              <w:spacing w:after="0" w:line="240" w:lineRule="auto"/>
              <w:rPr>
                <w:rFonts w:cs="Calibri"/>
                <w:b/>
                <w:bCs/>
                <w:color w:val="000000"/>
                <w:sz w:val="4"/>
                <w:szCs w:val="10"/>
              </w:rPr>
            </w:pPr>
          </w:p>
        </w:tc>
        <w:tc>
          <w:tcPr>
            <w:tcW w:w="4416" w:type="dxa"/>
            <w:gridSpan w:val="15"/>
            <w:tcBorders>
              <w:top w:val="single" w:color="1F497D" w:sz="4" w:space="0"/>
            </w:tcBorders>
          </w:tcPr>
          <w:p>
            <w:pPr>
              <w:tabs>
                <w:tab w:val="left" w:pos="4678"/>
              </w:tabs>
              <w:spacing w:after="0" w:line="240" w:lineRule="auto"/>
              <w:rPr>
                <w:rFonts w:cs="Calibri"/>
                <w:b/>
                <w:bCs/>
                <w:color w:val="000000"/>
                <w:sz w:val="4"/>
                <w:szCs w:val="10"/>
              </w:rPr>
            </w:pPr>
          </w:p>
        </w:tc>
        <w:tc>
          <w:tcPr>
            <w:tcW w:w="26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4"/>
          <w:wAfter w:w="568"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57"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27" w:type="dxa"/>
            <w:gridSpan w:val="2"/>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676" w:type="dxa"/>
            <w:gridSpan w:val="2"/>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017" w:type="dxa"/>
            <w:gridSpan w:val="5"/>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674"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60" w:type="dxa"/>
            <w:gridSpan w:val="3"/>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743" w:type="dxa"/>
            <w:gridSpan w:val="3"/>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689" w:type="dxa"/>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741" w:type="dxa"/>
            <w:gridSpan w:val="4"/>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283" w:type="dxa"/>
            <w:gridSpan w:val="4"/>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62"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4"/>
                <w:szCs w:val="4"/>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4416" w:type="dxa"/>
            <w:gridSpan w:val="15"/>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layanan unggulan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penyempurnaan sistem rujukan dalam jejaring kesehatan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3"/>
                <w:szCs w:val="3"/>
              </w:rPr>
            </w:pPr>
          </w:p>
        </w:tc>
        <w:tc>
          <w:tcPr>
            <w:tcW w:w="283" w:type="dxa"/>
          </w:tcPr>
          <w:p>
            <w:pPr>
              <w:tabs>
                <w:tab w:val="left" w:pos="4678"/>
              </w:tabs>
              <w:spacing w:after="0" w:line="240" w:lineRule="auto"/>
              <w:jc w:val="center"/>
              <w:rPr>
                <w:rFonts w:cs="Calibri"/>
                <w:b/>
                <w:bCs/>
                <w:color w:val="000000"/>
                <w:sz w:val="2"/>
                <w:szCs w:val="2"/>
              </w:rPr>
            </w:pPr>
          </w:p>
        </w:tc>
        <w:tc>
          <w:tcPr>
            <w:tcW w:w="5351" w:type="dxa"/>
            <w:gridSpan w:val="19"/>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3"/>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416" w:type="dxa"/>
            <w:gridSpan w:val="1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NDR rumah sakit</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 Kasus rujukan yang tepat</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auto" w:sz="4" w:space="0"/>
            </w:tcBorders>
          </w:tcPr>
          <w:p>
            <w:pPr>
              <w:tabs>
                <w:tab w:val="left" w:pos="4678"/>
              </w:tabs>
              <w:spacing w:after="0" w:line="240" w:lineRule="auto"/>
              <w:jc w:val="both"/>
              <w:rPr>
                <w:rFonts w:ascii="Times New Roman" w:hAnsi="Times New Roman"/>
                <w:color w:val="000000"/>
                <w:sz w:val="4"/>
                <w:szCs w:val="4"/>
              </w:rPr>
            </w:pPr>
          </w:p>
        </w:tc>
        <w:tc>
          <w:tcPr>
            <w:tcW w:w="727" w:type="dxa"/>
            <w:gridSpan w:val="2"/>
            <w:tcBorders>
              <w:top w:val="single" w:color="1F497D" w:sz="4" w:space="0"/>
              <w:bottom w:val="single" w:color="auto"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2"/>
            <w:tcBorders>
              <w:top w:val="single" w:color="1F497D" w:sz="4" w:space="0"/>
              <w:bottom w:val="single" w:color="auto" w:sz="4" w:space="0"/>
            </w:tcBorders>
          </w:tcPr>
          <w:p>
            <w:pPr>
              <w:tabs>
                <w:tab w:val="left" w:pos="4678"/>
              </w:tabs>
              <w:spacing w:after="0" w:line="240" w:lineRule="auto"/>
              <w:jc w:val="both"/>
              <w:rPr>
                <w:rFonts w:asciiTheme="minorHAnsi" w:hAnsiTheme="minorHAnsi"/>
                <w:color w:val="000000"/>
                <w:sz w:val="20"/>
                <w:szCs w:val="20"/>
              </w:rPr>
            </w:pPr>
          </w:p>
        </w:tc>
        <w:tc>
          <w:tcPr>
            <w:tcW w:w="1017" w:type="dxa"/>
            <w:gridSpan w:val="5"/>
            <w:tcBorders>
              <w:top w:val="single" w:color="1F497D" w:sz="4" w:space="0"/>
              <w:bottom w:val="single" w:color="auto"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auto"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43"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689" w:type="dxa"/>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41"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283"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auto"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asciiTheme="minorHAnsi" w:hAnsiTheme="minorHAnsi"/>
                <w:sz w:val="20"/>
                <w:szCs w:val="20"/>
              </w:rPr>
            </w:pPr>
            <w:r>
              <w:rPr>
                <w:rFonts w:cs="Arial" w:asciiTheme="minorHAnsi" w:hAnsiTheme="minorHAnsi"/>
                <w:sz w:val="20"/>
                <w:szCs w:val="20"/>
              </w:rPr>
              <w:t>Nett Death Rate adalah kematian pasien yang dirawat inap, yang terjadi sesudah periode 48 jam setelah pasien rawat inap masuk rumah sakit.</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asciiTheme="minorHAnsi" w:hAnsiTheme="minorHAnsi"/>
                <w:sz w:val="20"/>
                <w:szCs w:val="20"/>
              </w:rPr>
            </w:pPr>
            <w:r>
              <w:rPr>
                <w:rFonts w:cs="Arial" w:asciiTheme="minorHAnsi" w:hAnsiTheme="minorHAnsi"/>
                <w:sz w:val="20"/>
                <w:szCs w:val="20"/>
              </w:rPr>
              <w:t>Persentase kasus rujukan yang tepat adalah persentase kasus yang dirujuk ke RSHS yang sesuai dengan kasus severity level 2 dan 3</w:t>
            </w: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743"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689" w:type="dxa"/>
            <w:tcBorders>
              <w:bottom w:val="single" w:color="1F497D" w:sz="4" w:space="0"/>
            </w:tcBorders>
          </w:tcPr>
          <w:p>
            <w:pPr>
              <w:tabs>
                <w:tab w:val="left" w:pos="4678"/>
              </w:tabs>
              <w:spacing w:after="0" w:line="240" w:lineRule="auto"/>
              <w:jc w:val="both"/>
              <w:rPr>
                <w:rFonts w:cs="Calibri"/>
                <w:color w:val="000000"/>
                <w:sz w:val="2"/>
                <w:szCs w:val="2"/>
              </w:rPr>
            </w:pPr>
          </w:p>
        </w:tc>
        <w:tc>
          <w:tcPr>
            <w:tcW w:w="741"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83"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91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asciiTheme="minorHAnsi" w:hAnsiTheme="minorHAnsi"/>
                <w:sz w:val="20"/>
                <w:szCs w:val="20"/>
              </w:rPr>
            </w:pPr>
            <w:r>
              <w:rPr>
                <w:rFonts w:cs="Arial" w:asciiTheme="minorHAnsi" w:hAnsiTheme="minorHAnsi"/>
                <w:sz w:val="20"/>
                <w:szCs w:val="20"/>
              </w:rPr>
              <w:t>Jumlah pasien meninggal &gt; 48 jam per jumlah seluruh pasien keluar (hidup+meninggal) x 100%</w:t>
            </w:r>
          </w:p>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Arial" w:asciiTheme="minorHAnsi" w:hAnsiTheme="minorHAnsi"/>
                <w:sz w:val="20"/>
                <w:szCs w:val="20"/>
              </w:rPr>
            </w:pPr>
            <w:r>
              <w:rPr>
                <w:rFonts w:cs="Arial" w:asciiTheme="minorHAnsi" w:hAnsiTheme="minorHAnsi"/>
                <w:sz w:val="20"/>
                <w:szCs w:val="20"/>
              </w:rPr>
              <w:t>(jumlah kasus yang dirujuk dengan kasus severity level 2 dan 3 dibagi jumlah seluruh pasien rawat inap di RSHS) x 100%</w:t>
            </w:r>
          </w:p>
          <w:p>
            <w:pPr>
              <w:spacing w:before="60" w:after="0" w:line="240" w:lineRule="auto"/>
              <w:rPr>
                <w:rFonts w:cs="Arial"/>
                <w:sz w:val="20"/>
                <w:szCs w:val="20"/>
              </w:rPr>
            </w:pPr>
          </w:p>
          <w:p>
            <w:pPr>
              <w:spacing w:before="60" w:after="0" w:line="240" w:lineRule="auto"/>
              <w:rPr>
                <w:rFonts w:cs="Arial"/>
                <w:sz w:val="20"/>
                <w:szCs w:val="20"/>
              </w:rPr>
            </w:pPr>
          </w:p>
          <w:p>
            <w:pPr>
              <w:spacing w:before="60" w:after="0" w:line="240" w:lineRule="auto"/>
              <w:rPr>
                <w:rFonts w:cs="Arial"/>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4"/>
                <w:szCs w:val="4"/>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743"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689" w:type="dxa"/>
            <w:tcBorders>
              <w:bottom w:val="single" w:color="1F497D" w:sz="4" w:space="0"/>
            </w:tcBorders>
          </w:tcPr>
          <w:p>
            <w:pPr>
              <w:tabs>
                <w:tab w:val="left" w:pos="4678"/>
              </w:tabs>
              <w:spacing w:after="0" w:line="240" w:lineRule="auto"/>
              <w:jc w:val="both"/>
              <w:rPr>
                <w:rFonts w:cs="Calibri"/>
                <w:color w:val="000000"/>
                <w:sz w:val="2"/>
                <w:szCs w:val="2"/>
              </w:rPr>
            </w:pPr>
          </w:p>
        </w:tc>
        <w:tc>
          <w:tcPr>
            <w:tcW w:w="741"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83"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743"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689" w:type="dxa"/>
            <w:tcBorders>
              <w:bottom w:val="single" w:color="1F497D" w:sz="4" w:space="0"/>
            </w:tcBorders>
          </w:tcPr>
          <w:p>
            <w:pPr>
              <w:tabs>
                <w:tab w:val="left" w:pos="4678"/>
              </w:tabs>
              <w:spacing w:after="0" w:line="240" w:lineRule="auto"/>
              <w:jc w:val="both"/>
              <w:rPr>
                <w:rFonts w:cs="Calibri"/>
                <w:color w:val="000000"/>
                <w:sz w:val="2"/>
                <w:szCs w:val="2"/>
              </w:rPr>
            </w:pPr>
          </w:p>
        </w:tc>
        <w:tc>
          <w:tcPr>
            <w:tcW w:w="741"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83"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Medik dan Keperawatan RSHS</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Medik &amp; Keperawatan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5351" w:type="dxa"/>
            <w:gridSpan w:val="19"/>
            <w:tcBorders>
              <w:top w:val="single" w:color="1F497D" w:sz="4" w:space="0"/>
              <w:bottom w:val="single" w:color="1F497D" w:sz="4" w:space="0"/>
            </w:tcBorders>
          </w:tcPr>
          <w:p>
            <w:pPr>
              <w:tabs>
                <w:tab w:val="left" w:pos="4678"/>
              </w:tabs>
              <w:spacing w:after="0" w:line="240" w:lineRule="auto"/>
              <w:jc w:val="both"/>
              <w:rPr>
                <w:rFonts w:cs="Calibri"/>
                <w:color w:val="000000"/>
                <w:sz w:val="4"/>
                <w:szCs w:val="4"/>
              </w:rPr>
            </w:pPr>
          </w:p>
        </w:tc>
        <w:tc>
          <w:tcPr>
            <w:tcW w:w="262" w:type="dxa"/>
            <w:gridSpan w:val="2"/>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3"/>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416" w:type="dxa"/>
            <w:gridSpan w:val="1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Arial"/>
                <w:sz w:val="20"/>
                <w:szCs w:val="20"/>
              </w:rPr>
            </w:pPr>
            <w:r>
              <w:rPr>
                <w:rFonts w:cs="Arial"/>
                <w:sz w:val="20"/>
                <w:szCs w:val="20"/>
              </w:rPr>
              <w:t>Rekam Medik</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Rekam Medik</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743" w:type="dxa"/>
            <w:gridSpan w:val="3"/>
            <w:tcBorders>
              <w:bottom w:val="single" w:color="1F497D" w:sz="4" w:space="0"/>
            </w:tcBorders>
          </w:tcPr>
          <w:p>
            <w:pPr>
              <w:tabs>
                <w:tab w:val="left" w:pos="4678"/>
              </w:tabs>
              <w:spacing w:after="0" w:line="240" w:lineRule="auto"/>
              <w:jc w:val="both"/>
              <w:rPr>
                <w:rFonts w:cs="Calibri"/>
                <w:color w:val="000000"/>
                <w:sz w:val="2"/>
                <w:szCs w:val="2"/>
              </w:rPr>
            </w:pPr>
          </w:p>
        </w:tc>
        <w:tc>
          <w:tcPr>
            <w:tcW w:w="689" w:type="dxa"/>
            <w:tcBorders>
              <w:bottom w:val="single" w:color="1F497D" w:sz="4" w:space="0"/>
            </w:tcBorders>
          </w:tcPr>
          <w:p>
            <w:pPr>
              <w:tabs>
                <w:tab w:val="left" w:pos="4678"/>
              </w:tabs>
              <w:spacing w:after="0" w:line="240" w:lineRule="auto"/>
              <w:jc w:val="both"/>
              <w:rPr>
                <w:rFonts w:cs="Calibri"/>
                <w:color w:val="000000"/>
                <w:sz w:val="2"/>
                <w:szCs w:val="2"/>
              </w:rPr>
            </w:pPr>
          </w:p>
        </w:tc>
        <w:tc>
          <w:tcPr>
            <w:tcW w:w="741"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1283" w:type="dxa"/>
            <w:gridSpan w:val="4"/>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18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351" w:type="dxa"/>
            <w:gridSpan w:val="19"/>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416"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rPr>
                <w:rFonts w:asciiTheme="minorHAnsi" w:hAnsiTheme="minorHAnsi"/>
                <w:color w:val="000000"/>
                <w:sz w:val="20"/>
                <w:szCs w:val="20"/>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3"/>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auto" w:sz="4" w:space="0"/>
            </w:tcBorders>
          </w:tcPr>
          <w:p>
            <w:pPr>
              <w:tabs>
                <w:tab w:val="left" w:pos="4678"/>
              </w:tabs>
              <w:spacing w:after="0" w:line="240" w:lineRule="auto"/>
              <w:rPr>
                <w:rFonts w:cs="Calibri"/>
                <w:color w:val="000000"/>
                <w:sz w:val="2"/>
                <w:szCs w:val="2"/>
              </w:rPr>
            </w:pPr>
          </w:p>
        </w:tc>
        <w:tc>
          <w:tcPr>
            <w:tcW w:w="743" w:type="dxa"/>
            <w:gridSpan w:val="3"/>
            <w:tcBorders>
              <w:bottom w:val="single" w:color="auto" w:sz="4" w:space="0"/>
            </w:tcBorders>
          </w:tcPr>
          <w:p>
            <w:pPr>
              <w:tabs>
                <w:tab w:val="left" w:pos="4678"/>
              </w:tabs>
              <w:spacing w:after="0" w:line="240" w:lineRule="auto"/>
              <w:rPr>
                <w:rFonts w:cs="Calibri"/>
                <w:color w:val="000000"/>
                <w:sz w:val="2"/>
                <w:szCs w:val="2"/>
              </w:rPr>
            </w:pPr>
          </w:p>
        </w:tc>
        <w:tc>
          <w:tcPr>
            <w:tcW w:w="689" w:type="dxa"/>
            <w:tcBorders>
              <w:bottom w:val="single" w:color="auto" w:sz="4" w:space="0"/>
            </w:tcBorders>
          </w:tcPr>
          <w:p>
            <w:pPr>
              <w:tabs>
                <w:tab w:val="left" w:pos="4678"/>
              </w:tabs>
              <w:spacing w:after="0" w:line="240" w:lineRule="auto"/>
              <w:rPr>
                <w:rFonts w:cs="Calibri"/>
                <w:color w:val="000000"/>
                <w:sz w:val="2"/>
                <w:szCs w:val="2"/>
              </w:rPr>
            </w:pPr>
          </w:p>
        </w:tc>
        <w:tc>
          <w:tcPr>
            <w:tcW w:w="741" w:type="dxa"/>
            <w:gridSpan w:val="4"/>
            <w:tcBorders>
              <w:bottom w:val="single" w:color="auto" w:sz="4" w:space="0"/>
            </w:tcBorders>
          </w:tcPr>
          <w:p>
            <w:pPr>
              <w:tabs>
                <w:tab w:val="left" w:pos="4678"/>
              </w:tabs>
              <w:spacing w:after="0" w:line="240" w:lineRule="auto"/>
              <w:rPr>
                <w:rFonts w:cs="Calibri"/>
                <w:color w:val="000000"/>
                <w:sz w:val="2"/>
                <w:szCs w:val="2"/>
              </w:rPr>
            </w:pPr>
          </w:p>
        </w:tc>
        <w:tc>
          <w:tcPr>
            <w:tcW w:w="1283" w:type="dxa"/>
            <w:gridSpan w:val="4"/>
            <w:tcBorders>
              <w:bottom w:val="single" w:color="auto" w:sz="4" w:space="0"/>
            </w:tcBorders>
          </w:tcPr>
          <w:p>
            <w:pPr>
              <w:tabs>
                <w:tab w:val="left" w:pos="4678"/>
              </w:tabs>
              <w:spacing w:after="0" w:line="240" w:lineRule="auto"/>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4"/>
          <w:wAfter w:w="568" w:type="dxa"/>
          <w:trHeight w:val="213"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5351" w:type="dxa"/>
            <w:gridSpan w:val="19"/>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asciiTheme="minorHAnsi" w:hAnsiTheme="minorHAnsi"/>
                <w:color w:val="000000"/>
                <w:sz w:val="20"/>
                <w:szCs w:val="20"/>
                <w:lang w:val="id-ID"/>
              </w:rPr>
            </w:pPr>
            <w:r>
              <w:rPr>
                <w:rFonts w:cs="Arial" w:asciiTheme="minorHAnsi" w:hAnsiTheme="minorHAnsi"/>
                <w:sz w:val="20"/>
                <w:szCs w:val="20"/>
              </w:rPr>
              <w:t>Baseline data tahun 2016 : 47,4 ‰.</w:t>
            </w:r>
          </w:p>
        </w:tc>
        <w:tc>
          <w:tcPr>
            <w:tcW w:w="262" w:type="dxa"/>
            <w:gridSpan w:val="2"/>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3"/>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416" w:type="dxa"/>
            <w:gridSpan w:val="15"/>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color w:val="000000"/>
                <w:sz w:val="20"/>
                <w:szCs w:val="20"/>
              </w:rPr>
            </w:pPr>
          </w:p>
        </w:tc>
        <w:tc>
          <w:tcPr>
            <w:tcW w:w="262" w:type="dxa"/>
            <w:tcBorders>
              <w:left w:val="single" w:color="auto"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4"/>
          <w:wAfter w:w="568"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ascii="Times New Roman" w:hAnsi="Times New Roman"/>
                <w:color w:val="000000"/>
                <w:sz w:val="2"/>
                <w:szCs w:val="2"/>
              </w:rPr>
            </w:pPr>
          </w:p>
        </w:tc>
        <w:tc>
          <w:tcPr>
            <w:tcW w:w="283" w:type="dxa"/>
          </w:tcPr>
          <w:p>
            <w:pPr>
              <w:tabs>
                <w:tab w:val="left" w:pos="4678"/>
              </w:tabs>
              <w:spacing w:after="0" w:line="240" w:lineRule="auto"/>
              <w:jc w:val="center"/>
              <w:rPr>
                <w:rFonts w:ascii="Times New Roman" w:hAnsi="Times New Roman"/>
                <w:color w:val="000000"/>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017"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674"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2"/>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3"/>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960" w:type="dxa"/>
            <w:gridSpan w:val="3"/>
            <w:tcBorders>
              <w:bottom w:val="single" w:color="1F497D" w:sz="4" w:space="0"/>
            </w:tcBorders>
          </w:tcPr>
          <w:p>
            <w:pPr>
              <w:tabs>
                <w:tab w:val="left" w:pos="4678"/>
              </w:tabs>
              <w:spacing w:after="0" w:line="240" w:lineRule="auto"/>
              <w:rPr>
                <w:rFonts w:cs="Calibri"/>
                <w:color w:val="000000"/>
                <w:sz w:val="2"/>
                <w:szCs w:val="2"/>
              </w:rPr>
            </w:pPr>
          </w:p>
        </w:tc>
        <w:tc>
          <w:tcPr>
            <w:tcW w:w="743" w:type="dxa"/>
            <w:gridSpan w:val="3"/>
            <w:tcBorders>
              <w:bottom w:val="single" w:color="1F497D" w:sz="4" w:space="0"/>
            </w:tcBorders>
          </w:tcPr>
          <w:p>
            <w:pPr>
              <w:tabs>
                <w:tab w:val="left" w:pos="4678"/>
              </w:tabs>
              <w:spacing w:after="0" w:line="240" w:lineRule="auto"/>
              <w:rPr>
                <w:rFonts w:cs="Calibri"/>
                <w:color w:val="000000"/>
                <w:sz w:val="2"/>
                <w:szCs w:val="2"/>
              </w:rPr>
            </w:pPr>
          </w:p>
        </w:tc>
        <w:tc>
          <w:tcPr>
            <w:tcW w:w="689" w:type="dxa"/>
            <w:tcBorders>
              <w:bottom w:val="single" w:color="1F497D" w:sz="4" w:space="0"/>
            </w:tcBorders>
          </w:tcPr>
          <w:p>
            <w:pPr>
              <w:tabs>
                <w:tab w:val="left" w:pos="4678"/>
              </w:tabs>
              <w:spacing w:after="0" w:line="240" w:lineRule="auto"/>
              <w:rPr>
                <w:rFonts w:cs="Calibri"/>
                <w:color w:val="000000"/>
                <w:sz w:val="2"/>
                <w:szCs w:val="2"/>
              </w:rPr>
            </w:pPr>
          </w:p>
        </w:tc>
        <w:tc>
          <w:tcPr>
            <w:tcW w:w="741" w:type="dxa"/>
            <w:gridSpan w:val="4"/>
            <w:tcBorders>
              <w:bottom w:val="single" w:color="1F497D" w:sz="4" w:space="0"/>
            </w:tcBorders>
          </w:tcPr>
          <w:p>
            <w:pPr>
              <w:tabs>
                <w:tab w:val="left" w:pos="4678"/>
              </w:tabs>
              <w:spacing w:after="0" w:line="240" w:lineRule="auto"/>
              <w:rPr>
                <w:rFonts w:cs="Calibri"/>
                <w:color w:val="000000"/>
                <w:sz w:val="2"/>
                <w:szCs w:val="2"/>
              </w:rPr>
            </w:pPr>
          </w:p>
        </w:tc>
        <w:tc>
          <w:tcPr>
            <w:tcW w:w="1283" w:type="dxa"/>
            <w:gridSpan w:val="4"/>
            <w:tcBorders>
              <w:bottom w:val="single" w:color="1F497D" w:sz="4" w:space="0"/>
            </w:tcBorders>
          </w:tcPr>
          <w:p>
            <w:pPr>
              <w:tabs>
                <w:tab w:val="left" w:pos="4678"/>
              </w:tabs>
              <w:spacing w:after="0" w:line="240" w:lineRule="auto"/>
              <w:rPr>
                <w:rFonts w:cs="Calibri"/>
                <w:color w:val="00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1025"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1171"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1171" w:type="dxa"/>
            <w:gridSpan w:val="4"/>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869"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34"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867" w:type="dxa"/>
            <w:gridSpan w:val="3"/>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850"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996" w:type="dxa"/>
            <w:gridSpan w:val="2"/>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20"/>
              </w:rPr>
            </w:pPr>
            <w:r>
              <w:rPr>
                <w:rFonts w:ascii="Arial" w:hAnsi="Arial" w:cs="Arial"/>
                <w:sz w:val="20"/>
              </w:rPr>
              <w:t>42,8</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20"/>
              </w:rPr>
            </w:pPr>
            <w:r>
              <w:rPr>
                <w:rFonts w:ascii="Arial" w:hAnsi="Arial" w:cs="Arial"/>
                <w:sz w:val="20"/>
              </w:rPr>
              <w:t>47,4</w:t>
            </w:r>
          </w:p>
        </w:tc>
        <w:tc>
          <w:tcPr>
            <w:tcW w:w="1025"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ascii="Arial" w:hAnsi="Arial" w:cs="Arial"/>
                <w:sz w:val="20"/>
              </w:rPr>
            </w:pPr>
            <w:r>
              <w:rPr>
                <w:rFonts w:ascii="Arial" w:hAnsi="Arial" w:cs="Arial"/>
                <w:sz w:val="20"/>
              </w:rPr>
              <w:t>45</w:t>
            </w:r>
          </w:p>
        </w:tc>
        <w:tc>
          <w:tcPr>
            <w:tcW w:w="1171"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4</w:t>
            </w:r>
            <w:r>
              <w:rPr>
                <w:rFonts w:cs="Arial"/>
                <w:sz w:val="20"/>
                <w:szCs w:val="20"/>
              </w:rPr>
              <w:t>3</w:t>
            </w:r>
          </w:p>
        </w:tc>
        <w:tc>
          <w:tcPr>
            <w:tcW w:w="1171"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41</w:t>
            </w:r>
          </w:p>
          <w:p>
            <w:pPr>
              <w:spacing w:before="60" w:after="0" w:line="240" w:lineRule="auto"/>
              <w:jc w:val="center"/>
              <w:rPr>
                <w:rFonts w:cs="Arial"/>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3"/>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869"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48%</w:t>
            </w:r>
          </w:p>
        </w:tc>
        <w:tc>
          <w:tcPr>
            <w:tcW w:w="834"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50%</w:t>
            </w:r>
          </w:p>
        </w:tc>
        <w:tc>
          <w:tcPr>
            <w:tcW w:w="867"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55%</w:t>
            </w:r>
          </w:p>
        </w:tc>
        <w:tc>
          <w:tcPr>
            <w:tcW w:w="850"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60%</w:t>
            </w:r>
          </w:p>
        </w:tc>
        <w:tc>
          <w:tcPr>
            <w:tcW w:w="99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after="0" w:line="240" w:lineRule="auto"/>
              <w:jc w:val="center"/>
              <w:rPr>
                <w:rFonts w:cs="Arial" w:asciiTheme="minorHAnsi" w:hAnsiTheme="minorHAnsi"/>
                <w:sz w:val="20"/>
                <w:szCs w:val="20"/>
              </w:rPr>
            </w:pPr>
            <w:r>
              <w:rPr>
                <w:rFonts w:cs="Arial" w:asciiTheme="minorHAnsi" w:hAnsiTheme="minorHAnsi"/>
                <w:sz w:val="20"/>
                <w:szCs w:val="20"/>
              </w:rPr>
              <w:t>66%</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4"/>
          <w:wAfter w:w="568" w:type="dxa"/>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7458" w:type="dxa"/>
            <w:gridSpan w:val="21"/>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504" w:type="dxa"/>
            <w:gridSpan w:val="19"/>
            <w:tcBorders>
              <w:bottom w:val="single" w:color="1F497D" w:sz="4" w:space="0"/>
            </w:tcBorders>
          </w:tcPr>
          <w:p>
            <w:pPr>
              <w:tabs>
                <w:tab w:val="left" w:pos="4678"/>
              </w:tabs>
              <w:spacing w:after="0" w:line="240" w:lineRule="auto"/>
              <w:rPr>
                <w:rFonts w:cs="Calibri"/>
                <w:color w:val="000000"/>
                <w:sz w:val="2"/>
                <w:szCs w:val="18"/>
              </w:rPr>
            </w:pPr>
          </w:p>
        </w:tc>
        <w:tc>
          <w:tcPr>
            <w:tcW w:w="26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trHeight w:val="20" w:hRule="atLeast"/>
          <w:jc w:val="center"/>
        </w:trPr>
        <w:tc>
          <w:tcPr>
            <w:tcW w:w="7398" w:type="dxa"/>
            <w:gridSpan w:val="20"/>
            <w:tcBorders>
              <w:bottom w:val="single" w:color="1F497D" w:sz="4" w:space="0"/>
            </w:tcBorders>
            <w:shd w:val="clear" w:color="auto" w:fill="EBCC6E"/>
            <w:vAlign w:val="center"/>
          </w:tcPr>
          <w:p>
            <w:pPr>
              <w:pStyle w:val="40"/>
              <w:tabs>
                <w:tab w:val="left" w:pos="4678"/>
              </w:tabs>
              <w:spacing w:before="40"/>
              <w:rPr>
                <w:rFonts w:eastAsia="Times New Roman"/>
                <w:color w:val="FF0000"/>
                <w:lang w:val="sv-SE"/>
              </w:rPr>
            </w:pPr>
            <w:r>
              <w:t>K</w:t>
            </w:r>
            <w:r>
              <w:rPr>
                <w:rFonts w:eastAsia="Times New Roman"/>
                <w:lang w:val="sv-SE"/>
              </w:rPr>
              <w:t>PI-1</w:t>
            </w:r>
            <w:r>
              <w:rPr>
                <w:rFonts w:eastAsia="Times New Roman"/>
              </w:rPr>
              <w:t>1</w:t>
            </w:r>
            <w:r>
              <w:rPr>
                <w:rFonts w:eastAsia="Times New Roman"/>
                <w:lang w:val="sv-SE"/>
              </w:rPr>
              <w:t xml:space="preserve">. </w:t>
            </w:r>
            <w:r>
              <w:rPr>
                <w:rFonts w:cs="Arial"/>
                <w:color w:val="000000"/>
              </w:rPr>
              <w:t>Jumlah KSO alat medik&gt;Rp 3  M</w:t>
            </w:r>
            <w:r>
              <w:rPr>
                <w:rFonts w:cs="Arial"/>
                <w:color w:val="FF0000"/>
              </w:rPr>
              <w:tab/>
            </w:r>
          </w:p>
        </w:tc>
        <w:tc>
          <w:tcPr>
            <w:tcW w:w="300" w:type="dxa"/>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8190" w:type="dxa"/>
            <w:gridSpan w:val="29"/>
            <w:tcBorders>
              <w:bottom w:val="single" w:color="1F497D" w:sz="4" w:space="0"/>
            </w:tcBorders>
            <w:shd w:val="clear" w:color="auto" w:fill="EBCC6E"/>
          </w:tcPr>
          <w:p>
            <w:pPr>
              <w:pStyle w:val="40"/>
              <w:tabs>
                <w:tab w:val="left" w:pos="4678"/>
              </w:tabs>
              <w:spacing w:before="40"/>
              <w:rPr>
                <w:color w:val="FF0000"/>
              </w:rPr>
            </w:pPr>
            <w:r>
              <w:t xml:space="preserve">KPI-12. </w:t>
            </w:r>
            <w:r>
              <w:rPr>
                <w:rFonts w:cs="Arial"/>
              </w:rPr>
              <w:t>Jumlah Pand</w:t>
            </w:r>
            <w:r>
              <w:rPr>
                <w:rFonts w:cs="Arial"/>
                <w:shd w:val="clear" w:color="auto" w:fill="EBCC6E"/>
              </w:rPr>
              <w:t>u</w:t>
            </w:r>
            <w:r>
              <w:rPr>
                <w:rFonts w:cs="Arial"/>
              </w:rPr>
              <w:t>an Praktik Klinik (PPK) yang Diimplementasikan di Fasilitas Kesehatan Jejaring</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tcBorders>
              <w:top w:val="single" w:color="1F497D" w:sz="4" w:space="0"/>
            </w:tcBorders>
          </w:tcPr>
          <w:p>
            <w:pPr>
              <w:tabs>
                <w:tab w:val="left" w:pos="4678"/>
              </w:tabs>
              <w:spacing w:after="0" w:line="240" w:lineRule="auto"/>
              <w:rPr>
                <w:rFonts w:cs="Calibri"/>
                <w:b/>
                <w:bCs/>
                <w:color w:val="000000"/>
                <w:sz w:val="4"/>
                <w:szCs w:val="10"/>
              </w:rPr>
            </w:pPr>
          </w:p>
        </w:tc>
        <w:tc>
          <w:tcPr>
            <w:tcW w:w="296" w:type="dxa"/>
            <w:gridSpan w:val="2"/>
            <w:tcBorders>
              <w:top w:val="single" w:color="1F497D" w:sz="4" w:space="0"/>
            </w:tcBorders>
          </w:tcPr>
          <w:p>
            <w:pPr>
              <w:tabs>
                <w:tab w:val="left" w:pos="4678"/>
              </w:tabs>
              <w:spacing w:after="0" w:line="240" w:lineRule="auto"/>
              <w:rPr>
                <w:rFonts w:cs="Calibri"/>
                <w:b/>
                <w:bCs/>
                <w:color w:val="FF0000"/>
                <w:sz w:val="4"/>
                <w:szCs w:val="10"/>
              </w:rPr>
            </w:pPr>
          </w:p>
        </w:tc>
        <w:tc>
          <w:tcPr>
            <w:tcW w:w="4750" w:type="dxa"/>
            <w:gridSpan w:val="15"/>
            <w:tcBorders>
              <w:top w:val="single" w:color="1F497D" w:sz="4" w:space="0"/>
            </w:tcBorders>
          </w:tcPr>
          <w:p>
            <w:pPr>
              <w:tabs>
                <w:tab w:val="left" w:pos="4678"/>
              </w:tabs>
              <w:spacing w:after="0" w:line="240" w:lineRule="auto"/>
              <w:rPr>
                <w:rFonts w:cs="Calibri"/>
                <w:b/>
                <w:bCs/>
                <w:color w:val="FF0000"/>
                <w:sz w:val="4"/>
                <w:szCs w:val="10"/>
              </w:rPr>
            </w:pPr>
          </w:p>
        </w:tc>
        <w:tc>
          <w:tcPr>
            <w:tcW w:w="26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05" w:type="dxa"/>
            <w:gridSpan w:val="4"/>
            <w:tcBorders>
              <w:top w:val="single" w:color="1F497D" w:sz="4" w:space="0"/>
            </w:tcBorders>
          </w:tcPr>
          <w:p>
            <w:pPr>
              <w:tabs>
                <w:tab w:val="left" w:pos="4678"/>
              </w:tabs>
              <w:spacing w:after="0" w:line="240" w:lineRule="auto"/>
              <w:rPr>
                <w:rFonts w:cs="Calibri"/>
                <w:b/>
                <w:bCs/>
                <w:color w:val="FF0000"/>
                <w:sz w:val="4"/>
                <w:szCs w:val="10"/>
              </w:rPr>
            </w:pPr>
          </w:p>
        </w:tc>
        <w:tc>
          <w:tcPr>
            <w:tcW w:w="283" w:type="dxa"/>
            <w:tcBorders>
              <w:top w:val="single" w:color="1F497D" w:sz="4" w:space="0"/>
            </w:tcBorders>
          </w:tcPr>
          <w:p>
            <w:pPr>
              <w:tabs>
                <w:tab w:val="left" w:pos="4678"/>
              </w:tabs>
              <w:spacing w:after="0" w:line="240" w:lineRule="auto"/>
              <w:rPr>
                <w:rFonts w:cs="Calibri"/>
                <w:b/>
                <w:bCs/>
                <w:color w:val="FF0000"/>
                <w:sz w:val="4"/>
                <w:szCs w:val="10"/>
              </w:rPr>
            </w:pPr>
          </w:p>
        </w:tc>
        <w:tc>
          <w:tcPr>
            <w:tcW w:w="5565" w:type="dxa"/>
            <w:gridSpan w:val="20"/>
            <w:tcBorders>
              <w:top w:val="single" w:color="1F497D" w:sz="4" w:space="0"/>
            </w:tcBorders>
          </w:tcPr>
          <w:p>
            <w:pPr>
              <w:tabs>
                <w:tab w:val="left" w:pos="4678"/>
              </w:tabs>
              <w:spacing w:after="0" w:line="240" w:lineRule="auto"/>
              <w:rPr>
                <w:rFonts w:cs="Calibri"/>
                <w:b/>
                <w:bCs/>
                <w:color w:val="FF0000"/>
                <w:sz w:val="4"/>
                <w:szCs w:val="10"/>
              </w:rPr>
            </w:pPr>
          </w:p>
        </w:tc>
        <w:tc>
          <w:tcPr>
            <w:tcW w:w="26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1"/>
          <w:wAfter w:w="7" w:type="dxa"/>
          <w:trHeight w:val="19"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1257" w:type="dxa"/>
            <w:gridSpan w:val="4"/>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727" w:type="dxa"/>
            <w:gridSpan w:val="2"/>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676" w:type="dxa"/>
            <w:gridSpan w:val="2"/>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742" w:type="dxa"/>
            <w:gridSpan w:val="3"/>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1348" w:type="dxa"/>
            <w:gridSpan w:val="4"/>
            <w:tcBorders>
              <w:bottom w:val="single" w:color="1F497D" w:sz="4" w:space="0"/>
            </w:tcBorders>
          </w:tcPr>
          <w:p>
            <w:pPr>
              <w:tabs>
                <w:tab w:val="left" w:pos="4678"/>
              </w:tabs>
              <w:spacing w:after="0" w:line="240" w:lineRule="auto"/>
              <w:rPr>
                <w:rFonts w:ascii="Times New Roman" w:hAnsi="Times New Roman"/>
                <w:color w:val="FF0000"/>
                <w:sz w:val="2"/>
                <w:szCs w:val="2"/>
              </w:rPr>
            </w:pPr>
            <w:r>
              <w:rPr>
                <w:rFonts w:ascii="Times New Roman" w:hAnsi="Times New Roman"/>
                <w:color w:val="FF0000"/>
                <w:sz w:val="2"/>
                <w:szCs w:val="2"/>
              </w:rPr>
              <w:t> </w:t>
            </w: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283" w:type="dxa"/>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1113" w:type="dxa"/>
            <w:gridSpan w:val="3"/>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030" w:type="dxa"/>
            <w:gridSpan w:val="3"/>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962" w:type="dxa"/>
            <w:gridSpan w:val="4"/>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844" w:type="dxa"/>
            <w:gridSpan w:val="4"/>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616" w:type="dxa"/>
            <w:gridSpan w:val="6"/>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262"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FF0000"/>
                <w:sz w:val="20"/>
                <w:szCs w:val="20"/>
              </w:rPr>
            </w:pPr>
            <w:r>
              <w:rPr>
                <w:rFonts w:cs="Calibri"/>
                <w:i/>
                <w:iCs/>
                <w:color w:val="000000"/>
                <w:sz w:val="20"/>
                <w:szCs w:val="20"/>
              </w:rPr>
              <w:t>Proses Bisnis Internal</w:t>
            </w:r>
          </w:p>
        </w:tc>
        <w:tc>
          <w:tcPr>
            <w:tcW w:w="262"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sz w:val="20"/>
                <w:szCs w:val="20"/>
              </w:rPr>
            </w:pPr>
            <w:r>
              <w:rPr>
                <w:rFonts w:cs="Calibri"/>
                <w:i/>
                <w:iCs/>
                <w:sz w:val="20"/>
                <w:szCs w:val="20"/>
              </w:rPr>
              <w:t>Proses Bisnis Internal</w:t>
            </w:r>
          </w:p>
        </w:tc>
        <w:tc>
          <w:tcPr>
            <w:tcW w:w="262" w:type="dxa"/>
            <w:tcBorders>
              <w:left w:val="single" w:color="1F497D" w:sz="4" w:space="0"/>
              <w:right w:val="single" w:color="1F497D" w:sz="4" w:space="0"/>
            </w:tcBorders>
          </w:tcPr>
          <w:p>
            <w:pPr>
              <w:tabs>
                <w:tab w:val="left" w:pos="4678"/>
              </w:tabs>
              <w:spacing w:after="0" w:line="240" w:lineRule="auto"/>
              <w:rPr>
                <w:rFonts w:cs="Calibri"/>
                <w:i/>
                <w:iCs/>
                <w:sz w:val="20"/>
                <w:szCs w:val="20"/>
              </w:rPr>
            </w:pPr>
            <w:r>
              <w:rPr>
                <w:rFonts w:cs="Calibri"/>
                <w:i/>
                <w:iCs/>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5565" w:type="dxa"/>
            <w:gridSpan w:val="20"/>
            <w:tcBorders>
              <w:bottom w:val="single" w:color="1F497D" w:sz="4" w:space="0"/>
            </w:tcBorders>
          </w:tcPr>
          <w:p>
            <w:pPr>
              <w:tabs>
                <w:tab w:val="left" w:pos="4678"/>
              </w:tabs>
              <w:spacing w:after="0" w:line="240" w:lineRule="auto"/>
              <w:jc w:val="both"/>
              <w:rPr>
                <w:rFonts w:cs="Calibri"/>
                <w:i/>
                <w:iCs/>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Calibri"/>
                <w:color w:val="000000"/>
                <w:sz w:val="20"/>
                <w:szCs w:val="20"/>
              </w:rPr>
              <w:t>Terwujudnya kemitraan strategis (ABGCM)</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r>
              <w:rPr>
                <w:rFonts w:cs="Calibri"/>
                <w:sz w:val="20"/>
                <w:szCs w:val="20"/>
              </w:rPr>
              <w:t>Terwujudnya kemitraan strategis (ABGCM)</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3"/>
                <w:szCs w:val="3"/>
              </w:rPr>
            </w:pPr>
          </w:p>
        </w:tc>
        <w:tc>
          <w:tcPr>
            <w:tcW w:w="296" w:type="dxa"/>
            <w:gridSpan w:val="2"/>
          </w:tcPr>
          <w:p>
            <w:pPr>
              <w:tabs>
                <w:tab w:val="left" w:pos="4678"/>
              </w:tabs>
              <w:spacing w:after="0" w:line="240" w:lineRule="auto"/>
              <w:jc w:val="center"/>
              <w:rPr>
                <w:rFonts w:cs="Calibri"/>
                <w:b/>
                <w:bCs/>
                <w:sz w:val="2"/>
                <w:szCs w:val="2"/>
              </w:rPr>
            </w:pPr>
          </w:p>
        </w:tc>
        <w:tc>
          <w:tcPr>
            <w:tcW w:w="4750" w:type="dxa"/>
            <w:gridSpan w:val="15"/>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262" w:type="dxa"/>
            <w:tcBorders>
              <w:right w:val="single" w:color="1F497D" w:sz="4" w:space="0"/>
            </w:tcBorders>
          </w:tcPr>
          <w:p>
            <w:pPr>
              <w:tabs>
                <w:tab w:val="left" w:pos="4678"/>
              </w:tabs>
              <w:spacing w:after="0" w:line="240" w:lineRule="auto"/>
              <w:rPr>
                <w:rFonts w:cs="Calibri"/>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5565" w:type="dxa"/>
            <w:gridSpan w:val="20"/>
            <w:tcBorders>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Arial"/>
                <w:color w:val="000000"/>
                <w:sz w:val="20"/>
                <w:szCs w:val="20"/>
              </w:rPr>
              <w:t>Jumlah KSO alat medik&gt;Rp 3  M</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r>
              <w:rPr>
                <w:rFonts w:cs="Arial"/>
                <w:sz w:val="20"/>
                <w:szCs w:val="20"/>
              </w:rPr>
              <w:t xml:space="preserve">Jumlah Panduan Praktik Klinik (PPK) yang </w:t>
            </w:r>
            <w:r>
              <w:rPr>
                <w:rFonts w:cs="Arial"/>
                <w:sz w:val="20"/>
                <w:szCs w:val="20"/>
                <w:lang w:val="id-ID"/>
              </w:rPr>
              <w:t>d</w:t>
            </w:r>
            <w:r>
              <w:rPr>
                <w:rFonts w:cs="Arial"/>
                <w:sz w:val="20"/>
                <w:szCs w:val="20"/>
              </w:rPr>
              <w:t>iimplementasikan di Fasilitas Kesehatan Jejaring</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1030" w:type="dxa"/>
            <w:gridSpan w:val="3"/>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962" w:type="dxa"/>
            <w:gridSpan w:val="4"/>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844" w:type="dxa"/>
            <w:gridSpan w:val="4"/>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1616" w:type="dxa"/>
            <w:gridSpan w:val="6"/>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Kerjasama Operasional (KSO)  yang dimaksud adalah kerjasama dalam  pengoperasian alat  medis dengan harga  lebih dari Rp. 3 Milyar</w:t>
            </w:r>
          </w:p>
          <w:p>
            <w:pPr>
              <w:tabs>
                <w:tab w:val="left" w:pos="4678"/>
              </w:tabs>
              <w:spacing w:after="0" w:line="240" w:lineRule="auto"/>
              <w:jc w:val="both"/>
              <w:rPr>
                <w:rFonts w:cs="Calibri"/>
                <w:color w:val="FF0000"/>
                <w:sz w:val="20"/>
                <w:szCs w:val="20"/>
                <w:lang w:val="sv-SE"/>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r>
              <w:rPr>
                <w:rFonts w:cs="Arial"/>
                <w:sz w:val="20"/>
                <w:szCs w:val="20"/>
              </w:rPr>
              <w:t>Suatu indikator hasil (outcome) yang menunjukkan seberapa besar tingkat adopsi dari produk kajian/pengembangan berbagai Panduan Praktik Klinik (PPK) pada fasilitas kesehatan jejaring RSHS/FK Unpad; sehingga mengindikasikan kebermanfaatan hasil pemikiran ilmiah RSHS/FK Unpad bagi peningkatan kualitas pelayanan kesehatan</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1F497D" w:sz="4" w:space="0"/>
            </w:tcBorders>
          </w:tcPr>
          <w:p>
            <w:pPr>
              <w:tabs>
                <w:tab w:val="left" w:pos="4678"/>
              </w:tabs>
              <w:spacing w:after="0" w:line="240" w:lineRule="auto"/>
              <w:jc w:val="both"/>
              <w:rPr>
                <w:rFonts w:cs="Calibri"/>
                <w:sz w:val="2"/>
                <w:szCs w:val="2"/>
              </w:rPr>
            </w:pPr>
          </w:p>
        </w:tc>
        <w:tc>
          <w:tcPr>
            <w:tcW w:w="1030" w:type="dxa"/>
            <w:gridSpan w:val="3"/>
            <w:tcBorders>
              <w:bottom w:val="single" w:color="1F497D" w:sz="4" w:space="0"/>
            </w:tcBorders>
          </w:tcPr>
          <w:p>
            <w:pPr>
              <w:tabs>
                <w:tab w:val="left" w:pos="4678"/>
              </w:tabs>
              <w:spacing w:after="0" w:line="240" w:lineRule="auto"/>
              <w:jc w:val="both"/>
              <w:rPr>
                <w:rFonts w:cs="Calibri"/>
                <w:sz w:val="2"/>
                <w:szCs w:val="2"/>
              </w:rPr>
            </w:pPr>
          </w:p>
        </w:tc>
        <w:tc>
          <w:tcPr>
            <w:tcW w:w="962" w:type="dxa"/>
            <w:gridSpan w:val="4"/>
            <w:tcBorders>
              <w:bottom w:val="single" w:color="1F497D" w:sz="4" w:space="0"/>
            </w:tcBorders>
          </w:tcPr>
          <w:p>
            <w:pPr>
              <w:tabs>
                <w:tab w:val="left" w:pos="4678"/>
              </w:tabs>
              <w:spacing w:after="0" w:line="240" w:lineRule="auto"/>
              <w:jc w:val="both"/>
              <w:rPr>
                <w:rFonts w:cs="Calibri"/>
                <w:sz w:val="2"/>
                <w:szCs w:val="2"/>
              </w:rPr>
            </w:pPr>
          </w:p>
        </w:tc>
        <w:tc>
          <w:tcPr>
            <w:tcW w:w="844" w:type="dxa"/>
            <w:gridSpan w:val="4"/>
            <w:tcBorders>
              <w:bottom w:val="single" w:color="1F497D" w:sz="4" w:space="0"/>
            </w:tcBorders>
          </w:tcPr>
          <w:p>
            <w:pPr>
              <w:tabs>
                <w:tab w:val="left" w:pos="4678"/>
              </w:tabs>
              <w:spacing w:after="0" w:line="240" w:lineRule="auto"/>
              <w:jc w:val="both"/>
              <w:rPr>
                <w:rFonts w:cs="Calibri"/>
                <w:sz w:val="2"/>
                <w:szCs w:val="2"/>
              </w:rPr>
            </w:pPr>
          </w:p>
        </w:tc>
        <w:tc>
          <w:tcPr>
            <w:tcW w:w="1616" w:type="dxa"/>
            <w:gridSpan w:val="6"/>
            <w:tcBorders>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color w:val="FF0000"/>
                <w:sz w:val="20"/>
                <w:szCs w:val="20"/>
              </w:rPr>
            </w:pPr>
            <w:r>
              <w:rPr>
                <w:rFonts w:cs="Arial"/>
                <w:sz w:val="20"/>
                <w:szCs w:val="20"/>
              </w:rPr>
              <w:t>Jumlah KSO  baru alat medis &gt; 3 Milyar  per tahun</w:t>
            </w:r>
            <w:r>
              <w:rPr>
                <w:rFonts w:cs="Arial"/>
                <w:color w:val="FF0000"/>
                <w:sz w:val="20"/>
                <w:szCs w:val="20"/>
              </w:rPr>
              <w:t xml:space="preserve"> </w:t>
            </w:r>
          </w:p>
          <w:p>
            <w:pPr>
              <w:tabs>
                <w:tab w:val="left" w:pos="4678"/>
              </w:tabs>
              <w:spacing w:after="0" w:line="240" w:lineRule="auto"/>
              <w:jc w:val="both"/>
              <w:rPr>
                <w:rFonts w:cs="Arial"/>
                <w:color w:val="FF0000"/>
                <w:sz w:val="20"/>
                <w:szCs w:val="20"/>
              </w:rPr>
            </w:pPr>
          </w:p>
          <w:p>
            <w:pPr>
              <w:tabs>
                <w:tab w:val="left" w:pos="4678"/>
              </w:tabs>
              <w:spacing w:after="0" w:line="240" w:lineRule="auto"/>
              <w:jc w:val="both"/>
              <w:rPr>
                <w:rFonts w:cs="Arial"/>
                <w:color w:val="FF0000"/>
                <w:sz w:val="20"/>
                <w:szCs w:val="20"/>
              </w:rPr>
            </w:pPr>
          </w:p>
          <w:p>
            <w:pPr>
              <w:tabs>
                <w:tab w:val="left" w:pos="4678"/>
              </w:tabs>
              <w:spacing w:after="0" w:line="240" w:lineRule="auto"/>
              <w:jc w:val="both"/>
              <w:rPr>
                <w:rFonts w:cs="Arial"/>
                <w:color w:val="FF0000"/>
                <w:sz w:val="20"/>
                <w:szCs w:val="20"/>
              </w:rPr>
            </w:pPr>
          </w:p>
          <w:p>
            <w:pPr>
              <w:tabs>
                <w:tab w:val="left" w:pos="4678"/>
              </w:tabs>
              <w:spacing w:after="0" w:line="240" w:lineRule="auto"/>
              <w:jc w:val="both"/>
              <w:rPr>
                <w:rFonts w:cs="Arial"/>
                <w:color w:val="FF0000"/>
                <w:sz w:val="20"/>
                <w:szCs w:val="20"/>
              </w:rPr>
            </w:pPr>
          </w:p>
          <w:p>
            <w:pPr>
              <w:tabs>
                <w:tab w:val="left" w:pos="4678"/>
              </w:tabs>
              <w:spacing w:after="0" w:line="240" w:lineRule="auto"/>
              <w:jc w:val="both"/>
              <w:rPr>
                <w:rFonts w:cs="Calibri"/>
                <w:color w:val="FF0000"/>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Jumlah Panduan Praktik Klinik (PPK) gagasan RSHS/FK Unpad yang diadopsi &amp; diberlakukan oleh 7 RS regional jejaring</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1F497D" w:sz="4" w:space="0"/>
            </w:tcBorders>
          </w:tcPr>
          <w:p>
            <w:pPr>
              <w:tabs>
                <w:tab w:val="left" w:pos="4678"/>
              </w:tabs>
              <w:spacing w:after="0" w:line="240" w:lineRule="auto"/>
              <w:jc w:val="both"/>
              <w:rPr>
                <w:rFonts w:cs="Calibri"/>
                <w:sz w:val="2"/>
                <w:szCs w:val="2"/>
              </w:rPr>
            </w:pPr>
          </w:p>
        </w:tc>
        <w:tc>
          <w:tcPr>
            <w:tcW w:w="1030" w:type="dxa"/>
            <w:gridSpan w:val="3"/>
            <w:tcBorders>
              <w:bottom w:val="single" w:color="1F497D" w:sz="4" w:space="0"/>
            </w:tcBorders>
          </w:tcPr>
          <w:p>
            <w:pPr>
              <w:tabs>
                <w:tab w:val="left" w:pos="4678"/>
              </w:tabs>
              <w:spacing w:after="0" w:line="240" w:lineRule="auto"/>
              <w:jc w:val="both"/>
              <w:rPr>
                <w:rFonts w:cs="Calibri"/>
                <w:sz w:val="2"/>
                <w:szCs w:val="2"/>
              </w:rPr>
            </w:pPr>
          </w:p>
        </w:tc>
        <w:tc>
          <w:tcPr>
            <w:tcW w:w="962" w:type="dxa"/>
            <w:gridSpan w:val="4"/>
            <w:tcBorders>
              <w:bottom w:val="single" w:color="1F497D" w:sz="4" w:space="0"/>
            </w:tcBorders>
          </w:tcPr>
          <w:p>
            <w:pPr>
              <w:tabs>
                <w:tab w:val="left" w:pos="4678"/>
              </w:tabs>
              <w:spacing w:after="0" w:line="240" w:lineRule="auto"/>
              <w:jc w:val="both"/>
              <w:rPr>
                <w:rFonts w:cs="Calibri"/>
                <w:sz w:val="2"/>
                <w:szCs w:val="2"/>
              </w:rPr>
            </w:pPr>
          </w:p>
        </w:tc>
        <w:tc>
          <w:tcPr>
            <w:tcW w:w="844" w:type="dxa"/>
            <w:gridSpan w:val="4"/>
            <w:tcBorders>
              <w:bottom w:val="single" w:color="1F497D" w:sz="4" w:space="0"/>
            </w:tcBorders>
          </w:tcPr>
          <w:p>
            <w:pPr>
              <w:tabs>
                <w:tab w:val="left" w:pos="4678"/>
              </w:tabs>
              <w:spacing w:after="0" w:line="240" w:lineRule="auto"/>
              <w:jc w:val="both"/>
              <w:rPr>
                <w:rFonts w:cs="Calibri"/>
                <w:sz w:val="2"/>
                <w:szCs w:val="2"/>
              </w:rPr>
            </w:pPr>
          </w:p>
        </w:tc>
        <w:tc>
          <w:tcPr>
            <w:tcW w:w="1616" w:type="dxa"/>
            <w:gridSpan w:val="6"/>
            <w:tcBorders>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1F497D" w:sz="4" w:space="0"/>
            </w:tcBorders>
          </w:tcPr>
          <w:p>
            <w:pPr>
              <w:tabs>
                <w:tab w:val="left" w:pos="4678"/>
              </w:tabs>
              <w:spacing w:after="0" w:line="240" w:lineRule="auto"/>
              <w:jc w:val="both"/>
              <w:rPr>
                <w:rFonts w:cs="Calibri"/>
                <w:sz w:val="2"/>
                <w:szCs w:val="2"/>
              </w:rPr>
            </w:pPr>
          </w:p>
        </w:tc>
        <w:tc>
          <w:tcPr>
            <w:tcW w:w="1030" w:type="dxa"/>
            <w:gridSpan w:val="3"/>
            <w:tcBorders>
              <w:bottom w:val="single" w:color="1F497D" w:sz="4" w:space="0"/>
            </w:tcBorders>
          </w:tcPr>
          <w:p>
            <w:pPr>
              <w:tabs>
                <w:tab w:val="left" w:pos="4678"/>
              </w:tabs>
              <w:spacing w:after="0" w:line="240" w:lineRule="auto"/>
              <w:jc w:val="both"/>
              <w:rPr>
                <w:rFonts w:cs="Calibri"/>
                <w:sz w:val="2"/>
                <w:szCs w:val="2"/>
              </w:rPr>
            </w:pPr>
          </w:p>
        </w:tc>
        <w:tc>
          <w:tcPr>
            <w:tcW w:w="962" w:type="dxa"/>
            <w:gridSpan w:val="4"/>
            <w:tcBorders>
              <w:bottom w:val="single" w:color="1F497D" w:sz="4" w:space="0"/>
            </w:tcBorders>
          </w:tcPr>
          <w:p>
            <w:pPr>
              <w:tabs>
                <w:tab w:val="left" w:pos="4678"/>
              </w:tabs>
              <w:spacing w:after="0" w:line="240" w:lineRule="auto"/>
              <w:jc w:val="both"/>
              <w:rPr>
                <w:rFonts w:cs="Calibri"/>
                <w:sz w:val="2"/>
                <w:szCs w:val="2"/>
              </w:rPr>
            </w:pPr>
          </w:p>
        </w:tc>
        <w:tc>
          <w:tcPr>
            <w:tcW w:w="844" w:type="dxa"/>
            <w:gridSpan w:val="4"/>
            <w:tcBorders>
              <w:bottom w:val="single" w:color="1F497D" w:sz="4" w:space="0"/>
            </w:tcBorders>
          </w:tcPr>
          <w:p>
            <w:pPr>
              <w:tabs>
                <w:tab w:val="left" w:pos="4678"/>
              </w:tabs>
              <w:spacing w:after="0" w:line="240" w:lineRule="auto"/>
              <w:jc w:val="both"/>
              <w:rPr>
                <w:rFonts w:cs="Calibri"/>
                <w:sz w:val="2"/>
                <w:szCs w:val="2"/>
              </w:rPr>
            </w:pPr>
          </w:p>
        </w:tc>
        <w:tc>
          <w:tcPr>
            <w:tcW w:w="1616" w:type="dxa"/>
            <w:gridSpan w:val="6"/>
            <w:tcBorders>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Arial"/>
                <w:sz w:val="20"/>
                <w:szCs w:val="20"/>
              </w:rPr>
              <w:t>Direktur Umum dan Operasional RSHS</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r>
              <w:rPr>
                <w:rFonts w:cs="Calibri"/>
                <w:sz w:val="20"/>
                <w:szCs w:val="20"/>
              </w:rPr>
              <w:t>Direktur SDM dan Pendidikan</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
                <w:szCs w:val="2"/>
              </w:rPr>
            </w:pPr>
          </w:p>
        </w:tc>
        <w:tc>
          <w:tcPr>
            <w:tcW w:w="296" w:type="dxa"/>
            <w:gridSpan w:val="2"/>
          </w:tcPr>
          <w:p>
            <w:pPr>
              <w:tabs>
                <w:tab w:val="left" w:pos="4678"/>
              </w:tabs>
              <w:spacing w:after="0" w:line="240" w:lineRule="auto"/>
              <w:jc w:val="center"/>
              <w:rPr>
                <w:rFonts w:cs="Calibri"/>
                <w:b/>
                <w:bCs/>
                <w:sz w:val="2"/>
                <w:szCs w:val="2"/>
              </w:rPr>
            </w:pPr>
          </w:p>
        </w:tc>
        <w:tc>
          <w:tcPr>
            <w:tcW w:w="4750" w:type="dxa"/>
            <w:gridSpan w:val="15"/>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262" w:type="dxa"/>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5565" w:type="dxa"/>
            <w:gridSpan w:val="20"/>
            <w:tcBorders>
              <w:top w:val="single" w:color="1F497D" w:sz="4" w:space="0"/>
              <w:bottom w:val="single" w:color="1F497D" w:sz="4" w:space="0"/>
            </w:tcBorders>
          </w:tcPr>
          <w:p>
            <w:pPr>
              <w:tabs>
                <w:tab w:val="left" w:pos="4678"/>
              </w:tabs>
              <w:spacing w:after="0" w:line="240" w:lineRule="auto"/>
              <w:jc w:val="both"/>
              <w:rPr>
                <w:rFonts w:cs="Calibri"/>
                <w:sz w:val="2"/>
                <w:szCs w:val="2"/>
              </w:rPr>
            </w:pPr>
          </w:p>
        </w:tc>
        <w:tc>
          <w:tcPr>
            <w:tcW w:w="262" w:type="dxa"/>
            <w:tcBorders>
              <w:left w:val="nil"/>
              <w:right w:val="single" w:color="1F497D" w:sz="4" w:space="0"/>
            </w:tcBorders>
          </w:tcPr>
          <w:p>
            <w:pPr>
              <w:tabs>
                <w:tab w:val="left" w:pos="4678"/>
              </w:tabs>
              <w:spacing w:after="0" w:line="240" w:lineRule="auto"/>
              <w:rPr>
                <w:rFonts w:cs="Calibri"/>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color w:val="FF0000"/>
                <w:sz w:val="20"/>
                <w:szCs w:val="20"/>
              </w:rPr>
            </w:pPr>
            <w:r>
              <w:rPr>
                <w:rFonts w:cs="Arial"/>
                <w:sz w:val="20"/>
                <w:szCs w:val="20"/>
              </w:rPr>
              <w:t>Perjanjian kerjasama</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05" w:type="dxa"/>
            <w:gridSpan w:val="4"/>
          </w:tcPr>
          <w:p>
            <w:pPr>
              <w:tabs>
                <w:tab w:val="left" w:pos="4678"/>
              </w:tabs>
              <w:spacing w:after="0" w:line="240" w:lineRule="auto"/>
              <w:rPr>
                <w:rFonts w:cs="Calibri"/>
                <w:b/>
                <w:bCs/>
                <w:sz w:val="20"/>
                <w:szCs w:val="20"/>
              </w:rPr>
            </w:pPr>
            <w:r>
              <w:rPr>
                <w:rFonts w:cs="Calibri"/>
                <w:b/>
                <w:bCs/>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sz w:val="20"/>
                <w:szCs w:val="20"/>
              </w:rPr>
            </w:pPr>
            <w:r>
              <w:rPr>
                <w:rFonts w:cs="Arial"/>
                <w:sz w:val="20"/>
                <w:szCs w:val="20"/>
              </w:rPr>
              <w:t>Laporan Tahunan RSHS</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1F497D" w:sz="4" w:space="0"/>
            </w:tcBorders>
          </w:tcPr>
          <w:p>
            <w:pPr>
              <w:tabs>
                <w:tab w:val="left" w:pos="4678"/>
              </w:tabs>
              <w:spacing w:after="0" w:line="240" w:lineRule="auto"/>
              <w:jc w:val="both"/>
              <w:rPr>
                <w:rFonts w:cs="Calibri"/>
                <w:sz w:val="2"/>
                <w:szCs w:val="2"/>
              </w:rPr>
            </w:pPr>
          </w:p>
        </w:tc>
        <w:tc>
          <w:tcPr>
            <w:tcW w:w="1030" w:type="dxa"/>
            <w:gridSpan w:val="3"/>
            <w:tcBorders>
              <w:bottom w:val="single" w:color="1F497D" w:sz="4" w:space="0"/>
            </w:tcBorders>
          </w:tcPr>
          <w:p>
            <w:pPr>
              <w:tabs>
                <w:tab w:val="left" w:pos="4678"/>
              </w:tabs>
              <w:spacing w:after="0" w:line="240" w:lineRule="auto"/>
              <w:jc w:val="both"/>
              <w:rPr>
                <w:rFonts w:cs="Calibri"/>
                <w:sz w:val="2"/>
                <w:szCs w:val="2"/>
              </w:rPr>
            </w:pPr>
          </w:p>
        </w:tc>
        <w:tc>
          <w:tcPr>
            <w:tcW w:w="962" w:type="dxa"/>
            <w:gridSpan w:val="4"/>
            <w:tcBorders>
              <w:bottom w:val="single" w:color="1F497D" w:sz="4" w:space="0"/>
            </w:tcBorders>
          </w:tcPr>
          <w:p>
            <w:pPr>
              <w:tabs>
                <w:tab w:val="left" w:pos="4678"/>
              </w:tabs>
              <w:spacing w:after="0" w:line="240" w:lineRule="auto"/>
              <w:jc w:val="both"/>
              <w:rPr>
                <w:rFonts w:cs="Calibri"/>
                <w:sz w:val="2"/>
                <w:szCs w:val="2"/>
              </w:rPr>
            </w:pPr>
          </w:p>
        </w:tc>
        <w:tc>
          <w:tcPr>
            <w:tcW w:w="844" w:type="dxa"/>
            <w:gridSpan w:val="4"/>
            <w:tcBorders>
              <w:bottom w:val="single" w:color="1F497D" w:sz="4" w:space="0"/>
            </w:tcBorders>
          </w:tcPr>
          <w:p>
            <w:pPr>
              <w:tabs>
                <w:tab w:val="left" w:pos="4678"/>
              </w:tabs>
              <w:spacing w:after="0" w:line="240" w:lineRule="auto"/>
              <w:jc w:val="both"/>
              <w:rPr>
                <w:rFonts w:cs="Calibri"/>
                <w:sz w:val="2"/>
                <w:szCs w:val="2"/>
              </w:rPr>
            </w:pPr>
          </w:p>
        </w:tc>
        <w:tc>
          <w:tcPr>
            <w:tcW w:w="1616" w:type="dxa"/>
            <w:gridSpan w:val="6"/>
            <w:tcBorders>
              <w:bottom w:val="single" w:color="1F497D" w:sz="4" w:space="0"/>
            </w:tcBorders>
          </w:tcPr>
          <w:p>
            <w:pPr>
              <w:tabs>
                <w:tab w:val="left" w:pos="4678"/>
              </w:tabs>
              <w:spacing w:after="0" w:line="240" w:lineRule="auto"/>
              <w:jc w:val="both"/>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186"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750" w:type="dxa"/>
            <w:gridSpan w:val="1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Arial"/>
                <w:sz w:val="20"/>
                <w:szCs w:val="20"/>
              </w:rPr>
              <w:t>6 Bulanan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5565" w:type="dxa"/>
            <w:gridSpan w:val="2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sz w:val="20"/>
                <w:szCs w:val="20"/>
              </w:rPr>
            </w:pPr>
            <w:r>
              <w:rPr>
                <w:rFonts w:cs="Arial"/>
                <w:sz w:val="20"/>
                <w:szCs w:val="20"/>
              </w:rPr>
              <w:t>Tahunan</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05" w:type="dxa"/>
            <w:gridSpan w:val="4"/>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auto" w:sz="4" w:space="0"/>
            </w:tcBorders>
          </w:tcPr>
          <w:p>
            <w:pPr>
              <w:tabs>
                <w:tab w:val="left" w:pos="4678"/>
              </w:tabs>
              <w:spacing w:after="0" w:line="240" w:lineRule="auto"/>
              <w:rPr>
                <w:rFonts w:cs="Calibri"/>
                <w:sz w:val="2"/>
                <w:szCs w:val="2"/>
              </w:rPr>
            </w:pPr>
          </w:p>
        </w:tc>
        <w:tc>
          <w:tcPr>
            <w:tcW w:w="1030" w:type="dxa"/>
            <w:gridSpan w:val="3"/>
            <w:tcBorders>
              <w:bottom w:val="single" w:color="auto" w:sz="4" w:space="0"/>
            </w:tcBorders>
          </w:tcPr>
          <w:p>
            <w:pPr>
              <w:tabs>
                <w:tab w:val="left" w:pos="4678"/>
              </w:tabs>
              <w:spacing w:after="0" w:line="240" w:lineRule="auto"/>
              <w:rPr>
                <w:rFonts w:cs="Calibri"/>
                <w:sz w:val="2"/>
                <w:szCs w:val="2"/>
              </w:rPr>
            </w:pPr>
          </w:p>
        </w:tc>
        <w:tc>
          <w:tcPr>
            <w:tcW w:w="962" w:type="dxa"/>
            <w:gridSpan w:val="4"/>
            <w:tcBorders>
              <w:bottom w:val="single" w:color="auto" w:sz="4" w:space="0"/>
            </w:tcBorders>
          </w:tcPr>
          <w:p>
            <w:pPr>
              <w:tabs>
                <w:tab w:val="left" w:pos="4678"/>
              </w:tabs>
              <w:spacing w:after="0" w:line="240" w:lineRule="auto"/>
              <w:rPr>
                <w:rFonts w:cs="Calibri"/>
                <w:sz w:val="2"/>
                <w:szCs w:val="2"/>
              </w:rPr>
            </w:pPr>
          </w:p>
        </w:tc>
        <w:tc>
          <w:tcPr>
            <w:tcW w:w="844" w:type="dxa"/>
            <w:gridSpan w:val="4"/>
            <w:tcBorders>
              <w:bottom w:val="single" w:color="auto" w:sz="4" w:space="0"/>
            </w:tcBorders>
          </w:tcPr>
          <w:p>
            <w:pPr>
              <w:tabs>
                <w:tab w:val="left" w:pos="4678"/>
              </w:tabs>
              <w:spacing w:after="0" w:line="240" w:lineRule="auto"/>
              <w:rPr>
                <w:rFonts w:cs="Calibri"/>
                <w:sz w:val="2"/>
                <w:szCs w:val="2"/>
              </w:rPr>
            </w:pPr>
          </w:p>
        </w:tc>
        <w:tc>
          <w:tcPr>
            <w:tcW w:w="1616" w:type="dxa"/>
            <w:gridSpan w:val="6"/>
            <w:tcBorders>
              <w:bottom w:val="single" w:color="auto" w:sz="4" w:space="0"/>
            </w:tcBorders>
          </w:tcPr>
          <w:p>
            <w:pPr>
              <w:tabs>
                <w:tab w:val="left" w:pos="4678"/>
              </w:tabs>
              <w:spacing w:after="0" w:line="240" w:lineRule="auto"/>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r>
              <w:rPr>
                <w:rFonts w:cs="Calibri"/>
                <w:sz w:val="2"/>
                <w:szCs w:val="2"/>
              </w:rPr>
              <w:t> </w:t>
            </w:r>
          </w:p>
        </w:tc>
      </w:tr>
      <w:tr>
        <w:tblPrEx>
          <w:tblLayout w:type="fixed"/>
          <w:tblCellMar>
            <w:top w:w="0" w:type="dxa"/>
            <w:left w:w="108" w:type="dxa"/>
            <w:bottom w:w="0" w:type="dxa"/>
            <w:right w:w="108" w:type="dxa"/>
          </w:tblCellMar>
        </w:tblPrEx>
        <w:trPr>
          <w:gridAfter w:val="1"/>
          <w:wAfter w:w="7" w:type="dxa"/>
          <w:trHeight w:val="213"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96" w:type="dxa"/>
            <w:gridSpan w:val="2"/>
            <w:tcBorders>
              <w:right w:val="single" w:color="auto" w:sz="4" w:space="0"/>
            </w:tcBorders>
          </w:tcPr>
          <w:p>
            <w:pPr>
              <w:tabs>
                <w:tab w:val="left" w:pos="4678"/>
              </w:tabs>
              <w:spacing w:after="0" w:line="240" w:lineRule="auto"/>
              <w:jc w:val="center"/>
              <w:rPr>
                <w:rFonts w:ascii="Times New Roman" w:hAnsi="Times New Roman"/>
                <w:b/>
                <w:szCs w:val="24"/>
                <w:lang w:val="id-ID"/>
              </w:rPr>
            </w:pPr>
            <w:r>
              <w:rPr>
                <w:rFonts w:ascii="Times New Roman" w:hAnsi="Times New Roman"/>
                <w:b/>
                <w:szCs w:val="24"/>
                <w:lang w:val="id-ID"/>
              </w:rPr>
              <w:t>:</w:t>
            </w:r>
          </w:p>
        </w:tc>
        <w:tc>
          <w:tcPr>
            <w:tcW w:w="4750" w:type="dxa"/>
            <w:gridSpan w:val="15"/>
            <w:tcBorders>
              <w:top w:val="single" w:color="1F497D" w:sz="4" w:space="0"/>
              <w:left w:val="single" w:color="auto" w:sz="4" w:space="0"/>
              <w:bottom w:val="single" w:color="1F497D" w:sz="4" w:space="0"/>
              <w:right w:val="single" w:color="auto" w:sz="4" w:space="0"/>
            </w:tcBorders>
            <w:shd w:val="clear" w:color="auto" w:fill="auto"/>
          </w:tcPr>
          <w:p>
            <w:pPr>
              <w:tabs>
                <w:tab w:val="left" w:pos="4678"/>
              </w:tabs>
              <w:spacing w:after="0" w:line="240" w:lineRule="auto"/>
              <w:rPr>
                <w:rFonts w:ascii="Times New Roman" w:hAnsi="Times New Roman"/>
                <w:color w:val="FF0000"/>
                <w:szCs w:val="24"/>
              </w:rPr>
            </w:pPr>
            <w:r>
              <w:rPr>
                <w:color w:val="000000"/>
                <w:sz w:val="20"/>
                <w:szCs w:val="20"/>
              </w:rPr>
              <w:t>2 ( hemodialisa dan laboratorium)</w:t>
            </w:r>
          </w:p>
        </w:tc>
        <w:tc>
          <w:tcPr>
            <w:tcW w:w="262" w:type="dxa"/>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sz w:val="20"/>
                <w:szCs w:val="20"/>
                <w:lang w:val="id-ID"/>
              </w:rPr>
            </w:pPr>
            <w:r>
              <w:rPr>
                <w:rFonts w:cs="Calibri"/>
                <w:b/>
                <w:bCs/>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szCs w:val="24"/>
                <w:lang w:val="id-ID"/>
              </w:rPr>
            </w:pPr>
            <w:r>
              <w:rPr>
                <w:rFonts w:ascii="Times New Roman" w:hAnsi="Times New Roman"/>
                <w:szCs w:val="24"/>
                <w:lang w:val="id-ID"/>
              </w:rPr>
              <w:t>:</w:t>
            </w:r>
          </w:p>
        </w:tc>
        <w:tc>
          <w:tcPr>
            <w:tcW w:w="5565" w:type="dxa"/>
            <w:gridSpan w:val="20"/>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rPr>
            </w:pPr>
            <w:r>
              <w:rPr>
                <w:rFonts w:cs="Calibri"/>
                <w:sz w:val="20"/>
                <w:szCs w:val="20"/>
              </w:rPr>
              <w:t>Tidak ada</w:t>
            </w:r>
          </w:p>
        </w:tc>
        <w:tc>
          <w:tcPr>
            <w:tcW w:w="262" w:type="dxa"/>
            <w:tcBorders>
              <w:left w:val="single" w:color="auto" w:sz="4" w:space="0"/>
              <w:right w:val="single" w:color="1F497D" w:sz="4" w:space="0"/>
            </w:tcBorders>
          </w:tcPr>
          <w:p>
            <w:pPr>
              <w:tabs>
                <w:tab w:val="left" w:pos="4678"/>
              </w:tabs>
              <w:spacing w:after="0" w:line="240" w:lineRule="auto"/>
              <w:rPr>
                <w:rFonts w:cs="Calibri"/>
                <w:sz w:val="2"/>
                <w:szCs w:val="2"/>
              </w:rPr>
            </w:pPr>
          </w:p>
        </w:tc>
      </w:tr>
      <w:tr>
        <w:tblPrEx>
          <w:tblLayout w:type="fixed"/>
          <w:tblCellMar>
            <w:top w:w="0" w:type="dxa"/>
            <w:left w:w="108" w:type="dxa"/>
            <w:bottom w:w="0" w:type="dxa"/>
            <w:right w:w="108" w:type="dxa"/>
          </w:tblCellMar>
        </w:tblPrEx>
        <w:trPr>
          <w:gridAfter w:val="1"/>
          <w:wAfter w:w="7" w:type="dxa"/>
          <w:trHeight w:val="37" w:hRule="atLeast"/>
          <w:jc w:val="center"/>
        </w:trPr>
        <w:tc>
          <w:tcPr>
            <w:tcW w:w="266" w:type="dxa"/>
            <w:tcBorders>
              <w:left w:val="single" w:color="1F497D" w:sz="4" w:space="0"/>
            </w:tcBorders>
          </w:tcPr>
          <w:p>
            <w:pPr>
              <w:tabs>
                <w:tab w:val="left" w:pos="4678"/>
              </w:tabs>
              <w:spacing w:after="0" w:line="240" w:lineRule="auto"/>
              <w:rPr>
                <w:rFonts w:cs="Calibri"/>
                <w:color w:val="000000"/>
                <w:sz w:val="2"/>
                <w:szCs w:val="2"/>
              </w:rPr>
            </w:pPr>
          </w:p>
        </w:tc>
        <w:tc>
          <w:tcPr>
            <w:tcW w:w="1824" w:type="dxa"/>
          </w:tcPr>
          <w:p>
            <w:pPr>
              <w:tabs>
                <w:tab w:val="left" w:pos="4678"/>
              </w:tabs>
              <w:spacing w:after="0" w:line="240" w:lineRule="auto"/>
              <w:rPr>
                <w:rFonts w:ascii="Times New Roman" w:hAnsi="Times New Roman"/>
                <w:color w:val="000000"/>
                <w:sz w:val="2"/>
                <w:szCs w:val="2"/>
              </w:rPr>
            </w:pPr>
          </w:p>
        </w:tc>
        <w:tc>
          <w:tcPr>
            <w:tcW w:w="296" w:type="dxa"/>
            <w:gridSpan w:val="2"/>
          </w:tcPr>
          <w:p>
            <w:pPr>
              <w:tabs>
                <w:tab w:val="left" w:pos="4678"/>
              </w:tabs>
              <w:spacing w:after="0" w:line="240" w:lineRule="auto"/>
              <w:jc w:val="center"/>
              <w:rPr>
                <w:rFonts w:ascii="Times New Roman" w:hAnsi="Times New Roman"/>
                <w:b/>
                <w:sz w:val="2"/>
                <w:szCs w:val="2"/>
              </w:rPr>
            </w:pPr>
          </w:p>
        </w:tc>
        <w:tc>
          <w:tcPr>
            <w:tcW w:w="125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727"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676" w:type="dxa"/>
            <w:gridSpan w:val="2"/>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742"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1348"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FF0000"/>
                <w:sz w:val="2"/>
                <w:szCs w:val="2"/>
              </w:rPr>
            </w:pPr>
          </w:p>
        </w:tc>
        <w:tc>
          <w:tcPr>
            <w:tcW w:w="26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05" w:type="dxa"/>
            <w:gridSpan w:val="4"/>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1113" w:type="dxa"/>
            <w:gridSpan w:val="3"/>
            <w:tcBorders>
              <w:bottom w:val="single" w:color="1F497D" w:sz="4" w:space="0"/>
            </w:tcBorders>
          </w:tcPr>
          <w:p>
            <w:pPr>
              <w:tabs>
                <w:tab w:val="left" w:pos="4678"/>
              </w:tabs>
              <w:spacing w:after="0" w:line="240" w:lineRule="auto"/>
              <w:rPr>
                <w:rFonts w:cs="Calibri"/>
                <w:sz w:val="2"/>
                <w:szCs w:val="2"/>
              </w:rPr>
            </w:pPr>
          </w:p>
        </w:tc>
        <w:tc>
          <w:tcPr>
            <w:tcW w:w="1030" w:type="dxa"/>
            <w:gridSpan w:val="3"/>
            <w:tcBorders>
              <w:bottom w:val="single" w:color="1F497D" w:sz="4" w:space="0"/>
            </w:tcBorders>
          </w:tcPr>
          <w:p>
            <w:pPr>
              <w:tabs>
                <w:tab w:val="left" w:pos="4678"/>
              </w:tabs>
              <w:spacing w:after="0" w:line="240" w:lineRule="auto"/>
              <w:rPr>
                <w:rFonts w:cs="Calibri"/>
                <w:sz w:val="2"/>
                <w:szCs w:val="2"/>
              </w:rPr>
            </w:pPr>
          </w:p>
        </w:tc>
        <w:tc>
          <w:tcPr>
            <w:tcW w:w="962" w:type="dxa"/>
            <w:gridSpan w:val="4"/>
            <w:tcBorders>
              <w:bottom w:val="single" w:color="1F497D" w:sz="4" w:space="0"/>
            </w:tcBorders>
          </w:tcPr>
          <w:p>
            <w:pPr>
              <w:tabs>
                <w:tab w:val="left" w:pos="4678"/>
              </w:tabs>
              <w:spacing w:after="0" w:line="240" w:lineRule="auto"/>
              <w:rPr>
                <w:rFonts w:cs="Calibri"/>
                <w:sz w:val="2"/>
                <w:szCs w:val="2"/>
              </w:rPr>
            </w:pPr>
          </w:p>
        </w:tc>
        <w:tc>
          <w:tcPr>
            <w:tcW w:w="844" w:type="dxa"/>
            <w:gridSpan w:val="4"/>
            <w:tcBorders>
              <w:bottom w:val="single" w:color="1F497D" w:sz="4" w:space="0"/>
            </w:tcBorders>
          </w:tcPr>
          <w:p>
            <w:pPr>
              <w:tabs>
                <w:tab w:val="left" w:pos="4678"/>
              </w:tabs>
              <w:spacing w:after="0" w:line="240" w:lineRule="auto"/>
              <w:rPr>
                <w:rFonts w:cs="Calibri"/>
                <w:sz w:val="2"/>
                <w:szCs w:val="2"/>
              </w:rPr>
            </w:pPr>
          </w:p>
        </w:tc>
        <w:tc>
          <w:tcPr>
            <w:tcW w:w="1616" w:type="dxa"/>
            <w:gridSpan w:val="6"/>
            <w:tcBorders>
              <w:bottom w:val="single" w:color="1F497D" w:sz="4" w:space="0"/>
            </w:tcBorders>
          </w:tcPr>
          <w:p>
            <w:pPr>
              <w:tabs>
                <w:tab w:val="left" w:pos="4678"/>
              </w:tabs>
              <w:spacing w:after="0" w:line="240" w:lineRule="auto"/>
              <w:rPr>
                <w:rFonts w:cs="Calibri"/>
                <w:sz w:val="2"/>
                <w:szCs w:val="2"/>
              </w:rPr>
            </w:pPr>
          </w:p>
        </w:tc>
        <w:tc>
          <w:tcPr>
            <w:tcW w:w="262" w:type="dxa"/>
            <w:tcBorders>
              <w:right w:val="single" w:color="1F497D" w:sz="4" w:space="0"/>
            </w:tcBorders>
          </w:tcPr>
          <w:p>
            <w:pPr>
              <w:tabs>
                <w:tab w:val="left" w:pos="4678"/>
              </w:tabs>
              <w:spacing w:after="0" w:line="240" w:lineRule="auto"/>
              <w:rPr>
                <w:rFonts w:cs="Calibri"/>
                <w:sz w:val="2"/>
                <w:szCs w:val="2"/>
              </w:rPr>
            </w:pP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96" w:type="dxa"/>
            <w:gridSpan w:val="2"/>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883" w:type="dxa"/>
            <w:gridSpan w:val="3"/>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92"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891" w:type="dxa"/>
            <w:gridSpan w:val="2"/>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sz w:val="20"/>
                <w:szCs w:val="20"/>
              </w:rPr>
            </w:pPr>
            <w:r>
              <w:rPr>
                <w:rFonts w:cs="Calibri"/>
                <w:b/>
                <w:bCs/>
                <w:sz w:val="20"/>
                <w:szCs w:val="20"/>
              </w:rPr>
              <w:t>Target</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1113" w:type="dxa"/>
            <w:gridSpan w:val="3"/>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5</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6</w:t>
            </w:r>
          </w:p>
        </w:tc>
        <w:tc>
          <w:tcPr>
            <w:tcW w:w="1113"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7</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8</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14:textFill>
                  <w14:solidFill>
                    <w14:schemeClr w14:val="bg1"/>
                  </w14:solidFill>
                </w14:textFill>
              </w:rPr>
              <w:t>2019</w:t>
            </w:r>
          </w:p>
        </w:tc>
        <w:tc>
          <w:tcPr>
            <w:tcW w:w="262" w:type="dxa"/>
            <w:tcBorders>
              <w:left w:val="single" w:color="1F497D" w:sz="4" w:space="0"/>
              <w:right w:val="single" w:color="1F497D" w:sz="4" w:space="0"/>
            </w:tcBorders>
          </w:tcPr>
          <w:p>
            <w:pPr>
              <w:tabs>
                <w:tab w:val="left" w:pos="4678"/>
              </w:tabs>
              <w:spacing w:after="0" w:line="240" w:lineRule="auto"/>
              <w:rPr>
                <w:rFonts w:cs="Calibri"/>
                <w:sz w:val="20"/>
                <w:szCs w:val="20"/>
              </w:rPr>
            </w:pPr>
            <w:r>
              <w:rPr>
                <w:rFonts w:cs="Calibri"/>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96" w:type="dxa"/>
            <w:gridSpan w:val="2"/>
            <w:tcBorders>
              <w:right w:val="single" w:color="1F497D" w:sz="4" w:space="0"/>
            </w:tcBorders>
          </w:tcPr>
          <w:p>
            <w:pPr>
              <w:tabs>
                <w:tab w:val="left" w:pos="4678"/>
              </w:tabs>
              <w:spacing w:after="0" w:line="240" w:lineRule="auto"/>
              <w:jc w:val="center"/>
              <w:rPr>
                <w:rFonts w:cs="Calibri"/>
                <w:b/>
                <w:bCs/>
                <w:color w:val="FF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auto"/>
            <w:vAlign w:val="center"/>
          </w:tcPr>
          <w:p>
            <w:pPr>
              <w:spacing w:before="60" w:after="0" w:line="240" w:lineRule="auto"/>
              <w:jc w:val="center"/>
              <w:rPr>
                <w:rFonts w:cs="Arial"/>
                <w:sz w:val="20"/>
                <w:szCs w:val="20"/>
                <w:lang w:val="id-ID"/>
              </w:rPr>
            </w:pPr>
            <w:r>
              <w:rPr>
                <w:rFonts w:cs="Arial"/>
                <w:sz w:val="20"/>
                <w:szCs w:val="20"/>
                <w:lang w:val="id-ID"/>
              </w:rPr>
              <w:t>5 KSO</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auto"/>
            <w:vAlign w:val="center"/>
          </w:tcPr>
          <w:p>
            <w:pPr>
              <w:spacing w:before="60" w:after="0" w:line="240" w:lineRule="auto"/>
              <w:jc w:val="center"/>
              <w:rPr>
                <w:rFonts w:cs="Arial"/>
                <w:sz w:val="20"/>
                <w:szCs w:val="20"/>
              </w:rPr>
            </w:pPr>
            <w:r>
              <w:rPr>
                <w:rFonts w:cs="Arial"/>
                <w:sz w:val="20"/>
                <w:szCs w:val="20"/>
                <w:lang w:val="id-ID"/>
              </w:rPr>
              <w:t>5 KSO</w:t>
            </w:r>
          </w:p>
        </w:tc>
        <w:tc>
          <w:tcPr>
            <w:tcW w:w="883" w:type="dxa"/>
            <w:gridSpan w:val="3"/>
            <w:tcBorders>
              <w:top w:val="single" w:color="1F497D" w:sz="4" w:space="0"/>
              <w:left w:val="single" w:color="1F497D" w:sz="4" w:space="0"/>
              <w:bottom w:val="single" w:color="1F497D" w:sz="4" w:space="0"/>
              <w:right w:val="single" w:color="1F497D" w:sz="4" w:space="0"/>
            </w:tcBorders>
            <w:shd w:val="clear" w:color="auto" w:fill="auto"/>
            <w:vAlign w:val="center"/>
          </w:tcPr>
          <w:p>
            <w:pPr>
              <w:spacing w:before="60" w:after="0" w:line="240" w:lineRule="auto"/>
              <w:jc w:val="center"/>
              <w:rPr>
                <w:rFonts w:cs="Arial"/>
                <w:sz w:val="20"/>
                <w:szCs w:val="20"/>
              </w:rPr>
            </w:pPr>
            <w:r>
              <w:rPr>
                <w:rFonts w:cs="Arial"/>
                <w:sz w:val="20"/>
                <w:szCs w:val="20"/>
                <w:lang w:val="id-ID"/>
              </w:rPr>
              <w:t>5 KSO</w:t>
            </w:r>
          </w:p>
        </w:tc>
        <w:tc>
          <w:tcPr>
            <w:tcW w:w="992" w:type="dxa"/>
            <w:gridSpan w:val="4"/>
            <w:tcBorders>
              <w:top w:val="single" w:color="1F497D" w:sz="4" w:space="0"/>
              <w:left w:val="single" w:color="1F497D" w:sz="4" w:space="0"/>
              <w:bottom w:val="single" w:color="1F497D" w:sz="4" w:space="0"/>
              <w:right w:val="single" w:color="1F497D" w:sz="4" w:space="0"/>
            </w:tcBorders>
            <w:shd w:val="clear" w:color="auto" w:fill="auto"/>
            <w:vAlign w:val="center"/>
          </w:tcPr>
          <w:p>
            <w:pPr>
              <w:spacing w:before="60" w:after="0" w:line="240" w:lineRule="auto"/>
              <w:jc w:val="center"/>
              <w:rPr>
                <w:rFonts w:cs="Arial"/>
                <w:sz w:val="20"/>
                <w:szCs w:val="20"/>
              </w:rPr>
            </w:pPr>
            <w:r>
              <w:rPr>
                <w:rFonts w:cs="Arial"/>
                <w:sz w:val="20"/>
                <w:szCs w:val="20"/>
                <w:lang w:val="id-ID"/>
              </w:rPr>
              <w:t>5 KSO</w:t>
            </w:r>
          </w:p>
        </w:tc>
        <w:tc>
          <w:tcPr>
            <w:tcW w:w="891" w:type="dxa"/>
            <w:gridSpan w:val="2"/>
            <w:tcBorders>
              <w:top w:val="single" w:color="1F497D" w:sz="4" w:space="0"/>
              <w:left w:val="single" w:color="1F497D" w:sz="4" w:space="0"/>
              <w:bottom w:val="single" w:color="1F497D" w:sz="4" w:space="0"/>
              <w:right w:val="single" w:color="1F497D" w:sz="4" w:space="0"/>
            </w:tcBorders>
            <w:shd w:val="clear" w:color="auto" w:fill="auto"/>
            <w:vAlign w:val="center"/>
          </w:tcPr>
          <w:p>
            <w:pPr>
              <w:spacing w:before="60" w:after="0" w:line="240" w:lineRule="auto"/>
              <w:jc w:val="center"/>
              <w:rPr>
                <w:rFonts w:cs="Arial"/>
                <w:sz w:val="20"/>
                <w:szCs w:val="20"/>
              </w:rPr>
            </w:pPr>
            <w:r>
              <w:rPr>
                <w:rFonts w:cs="Arial"/>
                <w:sz w:val="20"/>
                <w:szCs w:val="20"/>
                <w:lang w:val="id-ID"/>
              </w:rPr>
              <w:t>5 KSO</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05" w:type="dxa"/>
            <w:gridSpan w:val="4"/>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283" w:type="dxa"/>
            <w:tcBorders>
              <w:right w:val="single" w:color="1F497D" w:sz="4" w:space="0"/>
            </w:tcBorders>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1113"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 xml:space="preserve">RSHS: </w:t>
            </w:r>
            <w:r>
              <w:rPr>
                <w:rFonts w:cs="Arial"/>
                <w:sz w:val="20"/>
                <w:szCs w:val="20"/>
                <w:lang w:val="id-ID"/>
              </w:rPr>
              <w:t>5</w:t>
            </w:r>
          </w:p>
          <w:p>
            <w:pPr>
              <w:spacing w:before="60" w:after="0" w:line="240" w:lineRule="auto"/>
              <w:jc w:val="center"/>
              <w:rPr>
                <w:rFonts w:cs="Arial"/>
                <w:sz w:val="20"/>
                <w:szCs w:val="20"/>
                <w:lang w:val="id-ID"/>
              </w:rPr>
            </w:pPr>
            <w:r>
              <w:rPr>
                <w:rFonts w:cs="Arial"/>
                <w:sz w:val="20"/>
                <w:szCs w:val="20"/>
                <w:lang w:val="id-ID"/>
              </w:rPr>
              <w:t>PPK/Tahun</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 xml:space="preserve">RSHS: </w:t>
            </w:r>
            <w:r>
              <w:rPr>
                <w:rFonts w:cs="Arial"/>
                <w:sz w:val="20"/>
                <w:szCs w:val="20"/>
                <w:lang w:val="id-ID"/>
              </w:rPr>
              <w:t>5</w:t>
            </w:r>
          </w:p>
          <w:p>
            <w:pPr>
              <w:spacing w:before="60" w:after="0" w:line="240" w:lineRule="auto"/>
              <w:jc w:val="center"/>
              <w:rPr>
                <w:rFonts w:cs="Arial"/>
                <w:sz w:val="20"/>
                <w:szCs w:val="20"/>
              </w:rPr>
            </w:pPr>
            <w:r>
              <w:rPr>
                <w:rFonts w:cs="Arial"/>
                <w:sz w:val="20"/>
                <w:szCs w:val="20"/>
                <w:lang w:val="id-ID"/>
              </w:rPr>
              <w:t>PPK/Tahun</w:t>
            </w:r>
          </w:p>
        </w:tc>
        <w:tc>
          <w:tcPr>
            <w:tcW w:w="1113"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 xml:space="preserve">RSHS: </w:t>
            </w:r>
            <w:r>
              <w:rPr>
                <w:rFonts w:cs="Arial"/>
                <w:sz w:val="20"/>
                <w:szCs w:val="20"/>
                <w:lang w:val="id-ID"/>
              </w:rPr>
              <w:t>5</w:t>
            </w:r>
          </w:p>
          <w:p>
            <w:pPr>
              <w:spacing w:before="60" w:after="0" w:line="240" w:lineRule="auto"/>
              <w:jc w:val="center"/>
              <w:rPr>
                <w:rFonts w:cs="Arial"/>
                <w:sz w:val="20"/>
                <w:szCs w:val="20"/>
              </w:rPr>
            </w:pPr>
            <w:r>
              <w:rPr>
                <w:rFonts w:cs="Arial"/>
                <w:sz w:val="20"/>
                <w:szCs w:val="20"/>
                <w:lang w:val="id-ID"/>
              </w:rPr>
              <w:t>PPK/Tahun</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RSHS: 10</w:t>
            </w:r>
          </w:p>
          <w:p>
            <w:pPr>
              <w:spacing w:before="60" w:after="0" w:line="240" w:lineRule="auto"/>
              <w:jc w:val="center"/>
              <w:rPr>
                <w:rFonts w:cs="Arial"/>
                <w:sz w:val="20"/>
                <w:szCs w:val="20"/>
              </w:rPr>
            </w:pPr>
            <w:r>
              <w:rPr>
                <w:rFonts w:cs="Arial"/>
                <w:sz w:val="20"/>
                <w:szCs w:val="20"/>
                <w:lang w:val="id-ID"/>
              </w:rPr>
              <w:t xml:space="preserve"> PPK/Tahun</w:t>
            </w:r>
          </w:p>
        </w:tc>
        <w:tc>
          <w:tcPr>
            <w:tcW w:w="1113"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RSHS: 1</w:t>
            </w:r>
            <w:r>
              <w:rPr>
                <w:rFonts w:cs="Arial"/>
                <w:sz w:val="20"/>
                <w:szCs w:val="20"/>
                <w:lang w:val="id-ID"/>
              </w:rPr>
              <w:t>5</w:t>
            </w:r>
          </w:p>
          <w:p>
            <w:pPr>
              <w:spacing w:before="60" w:after="0" w:line="240" w:lineRule="auto"/>
              <w:jc w:val="center"/>
              <w:rPr>
                <w:rFonts w:cs="Arial"/>
                <w:sz w:val="20"/>
                <w:szCs w:val="20"/>
              </w:rPr>
            </w:pPr>
            <w:r>
              <w:rPr>
                <w:rFonts w:cs="Arial"/>
                <w:sz w:val="20"/>
                <w:szCs w:val="20"/>
                <w:lang w:val="id-ID"/>
              </w:rPr>
              <w:t>PPK/Tahun</w:t>
            </w:r>
          </w:p>
        </w:tc>
        <w:tc>
          <w:tcPr>
            <w:tcW w:w="26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1"/>
          <w:wAfter w:w="7" w:type="dxa"/>
          <w:trHeight w:val="20" w:hRule="atLeast"/>
          <w:jc w:val="center"/>
        </w:trPr>
        <w:tc>
          <w:tcPr>
            <w:tcW w:w="266" w:type="dxa"/>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6870" w:type="dxa"/>
            <w:gridSpan w:val="18"/>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7653" w:type="dxa"/>
            <w:gridSpan w:val="25"/>
            <w:tcBorders>
              <w:bottom w:val="single" w:color="1F497D" w:sz="4" w:space="0"/>
            </w:tcBorders>
          </w:tcPr>
          <w:p>
            <w:pPr>
              <w:tabs>
                <w:tab w:val="left" w:pos="4678"/>
              </w:tabs>
              <w:spacing w:after="0" w:line="240" w:lineRule="auto"/>
              <w:rPr>
                <w:rFonts w:cs="Calibri"/>
                <w:color w:val="000000"/>
                <w:sz w:val="2"/>
                <w:szCs w:val="18"/>
              </w:rPr>
            </w:pPr>
          </w:p>
        </w:tc>
        <w:tc>
          <w:tcPr>
            <w:tcW w:w="26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bl>
    <w:p/>
    <w:p/>
    <w:tbl>
      <w:tblPr>
        <w:tblStyle w:val="26"/>
        <w:tblW w:w="15723" w:type="dxa"/>
        <w:jc w:val="center"/>
        <w:tblInd w:w="0" w:type="dxa"/>
        <w:tblLayout w:type="fixed"/>
        <w:tblCellMar>
          <w:top w:w="0" w:type="dxa"/>
          <w:left w:w="108" w:type="dxa"/>
          <w:bottom w:w="0" w:type="dxa"/>
          <w:right w:w="108" w:type="dxa"/>
        </w:tblCellMar>
      </w:tblPr>
      <w:tblGrid>
        <w:gridCol w:w="5"/>
        <w:gridCol w:w="261"/>
        <w:gridCol w:w="17"/>
        <w:gridCol w:w="1807"/>
        <w:gridCol w:w="83"/>
        <w:gridCol w:w="200"/>
        <w:gridCol w:w="94"/>
        <w:gridCol w:w="1072"/>
        <w:gridCol w:w="91"/>
        <w:gridCol w:w="139"/>
        <w:gridCol w:w="3"/>
        <w:gridCol w:w="585"/>
        <w:gridCol w:w="233"/>
        <w:gridCol w:w="26"/>
        <w:gridCol w:w="86"/>
        <w:gridCol w:w="172"/>
        <w:gridCol w:w="159"/>
        <w:gridCol w:w="207"/>
        <w:gridCol w:w="142"/>
        <w:gridCol w:w="20"/>
        <w:gridCol w:w="148"/>
        <w:gridCol w:w="180"/>
        <w:gridCol w:w="45"/>
        <w:gridCol w:w="142"/>
        <w:gridCol w:w="58"/>
        <w:gridCol w:w="257"/>
        <w:gridCol w:w="52"/>
        <w:gridCol w:w="226"/>
        <w:gridCol w:w="247"/>
        <w:gridCol w:w="320"/>
        <w:gridCol w:w="46"/>
        <w:gridCol w:w="272"/>
        <w:gridCol w:w="274"/>
        <w:gridCol w:w="11"/>
        <w:gridCol w:w="15"/>
        <w:gridCol w:w="238"/>
        <w:gridCol w:w="18"/>
        <w:gridCol w:w="12"/>
        <w:gridCol w:w="6"/>
        <w:gridCol w:w="226"/>
        <w:gridCol w:w="67"/>
        <w:gridCol w:w="233"/>
        <w:gridCol w:w="45"/>
        <w:gridCol w:w="223"/>
        <w:gridCol w:w="1037"/>
        <w:gridCol w:w="283"/>
        <w:gridCol w:w="360"/>
        <w:gridCol w:w="107"/>
        <w:gridCol w:w="186"/>
        <w:gridCol w:w="97"/>
        <w:gridCol w:w="119"/>
        <w:gridCol w:w="91"/>
        <w:gridCol w:w="89"/>
        <w:gridCol w:w="598"/>
        <w:gridCol w:w="46"/>
        <w:gridCol w:w="10"/>
        <w:gridCol w:w="113"/>
        <w:gridCol w:w="45"/>
        <w:gridCol w:w="100"/>
        <w:gridCol w:w="184"/>
        <w:gridCol w:w="366"/>
        <w:gridCol w:w="39"/>
        <w:gridCol w:w="17"/>
        <w:gridCol w:w="13"/>
        <w:gridCol w:w="233"/>
        <w:gridCol w:w="41"/>
        <w:gridCol w:w="44"/>
        <w:gridCol w:w="97"/>
        <w:gridCol w:w="299"/>
        <w:gridCol w:w="123"/>
        <w:gridCol w:w="44"/>
        <w:gridCol w:w="149"/>
        <w:gridCol w:w="173"/>
        <w:gridCol w:w="63"/>
        <w:gridCol w:w="142"/>
        <w:gridCol w:w="56"/>
        <w:gridCol w:w="241"/>
        <w:gridCol w:w="204"/>
        <w:gridCol w:w="66"/>
        <w:gridCol w:w="186"/>
        <w:gridCol w:w="76"/>
        <w:gridCol w:w="11"/>
        <w:gridCol w:w="67"/>
        <w:gridCol w:w="281"/>
        <w:gridCol w:w="190"/>
        <w:gridCol w:w="3"/>
        <w:gridCol w:w="259"/>
        <w:gridCol w:w="7"/>
        <w:gridCol w:w="5"/>
      </w:tblGrid>
      <w:tr>
        <w:tblPrEx>
          <w:tblLayout w:type="fixed"/>
          <w:tblCellMar>
            <w:top w:w="0" w:type="dxa"/>
            <w:left w:w="108" w:type="dxa"/>
            <w:bottom w:w="0" w:type="dxa"/>
            <w:right w:w="108" w:type="dxa"/>
          </w:tblCellMar>
        </w:tblPrEx>
        <w:trPr>
          <w:gridAfter w:val="1"/>
          <w:wAfter w:w="5" w:type="dxa"/>
          <w:trHeight w:val="20" w:hRule="atLeast"/>
          <w:jc w:val="center"/>
        </w:trPr>
        <w:tc>
          <w:tcPr>
            <w:tcW w:w="8195" w:type="dxa"/>
            <w:gridSpan w:val="40"/>
            <w:tcBorders>
              <w:bottom w:val="single" w:color="1F497D" w:sz="4" w:space="0"/>
            </w:tcBorders>
            <w:shd w:val="clear" w:color="auto" w:fill="EBCC6E"/>
            <w:vAlign w:val="center"/>
          </w:tcPr>
          <w:p>
            <w:pPr>
              <w:pStyle w:val="40"/>
              <w:tabs>
                <w:tab w:val="left" w:pos="4678"/>
              </w:tabs>
              <w:spacing w:before="40"/>
              <w:rPr>
                <w:rFonts w:eastAsia="Times New Roman"/>
                <w:lang w:val="sv-SE"/>
              </w:rPr>
            </w:pPr>
            <w:r>
              <w:br w:type="page"/>
            </w:r>
            <w:r>
              <w:t>K</w:t>
            </w:r>
            <w:r>
              <w:rPr>
                <w:rFonts w:eastAsia="Times New Roman"/>
                <w:lang w:val="sv-SE"/>
              </w:rPr>
              <w:t xml:space="preserve">PI-13. </w:t>
            </w:r>
            <w:r>
              <w:rPr>
                <w:rFonts w:cs="Arial"/>
                <w:color w:val="000000"/>
              </w:rPr>
              <w:t>% Kepatuhan Clinical Pathway yang Sejalan Kurikulum Pendidikan</w:t>
            </w:r>
            <w:r>
              <w:rPr>
                <w:rFonts w:cs="Arial"/>
                <w:color w:val="000000"/>
              </w:rPr>
              <w:tab/>
            </w:r>
          </w:p>
        </w:tc>
        <w:tc>
          <w:tcPr>
            <w:tcW w:w="300" w:type="dxa"/>
            <w:gridSpan w:val="2"/>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223" w:type="dxa"/>
            <w:gridSpan w:val="46"/>
            <w:tcBorders>
              <w:bottom w:val="single" w:color="1F497D" w:sz="4" w:space="0"/>
            </w:tcBorders>
            <w:shd w:val="clear" w:color="auto" w:fill="EBCC6E"/>
          </w:tcPr>
          <w:p>
            <w:pPr>
              <w:pStyle w:val="40"/>
              <w:tabs>
                <w:tab w:val="left" w:pos="4678"/>
              </w:tabs>
              <w:spacing w:before="40"/>
            </w:pPr>
            <w:r>
              <w:t xml:space="preserve">KPI-15. </w:t>
            </w:r>
            <w:r>
              <w:rPr>
                <w:rFonts w:cs="Arial"/>
                <w:color w:val="000000"/>
              </w:rPr>
              <w:t xml:space="preserve">Jumlah Publikasi Riset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5560" w:type="dxa"/>
            <w:gridSpan w:val="30"/>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4"/>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787" w:type="dxa"/>
            <w:gridSpan w:val="4"/>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4616" w:type="dxa"/>
            <w:gridSpan w:val="35"/>
            <w:tcBorders>
              <w:top w:val="single" w:color="1F497D" w:sz="4" w:space="0"/>
            </w:tcBorders>
          </w:tcPr>
          <w:p>
            <w:pPr>
              <w:tabs>
                <w:tab w:val="left" w:pos="4678"/>
              </w:tabs>
              <w:spacing w:after="0" w:line="240" w:lineRule="auto"/>
              <w:rPr>
                <w:rFonts w:cs="Calibri"/>
                <w:b/>
                <w:bCs/>
                <w:color w:val="000000"/>
                <w:sz w:val="4"/>
                <w:szCs w:val="10"/>
              </w:rPr>
            </w:pPr>
          </w:p>
        </w:tc>
        <w:tc>
          <w:tcPr>
            <w:tcW w:w="262"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2"/>
          <w:wAfter w:w="12" w:type="dxa"/>
          <w:trHeight w:val="19"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5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960"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960" w:type="dxa"/>
            <w:gridSpan w:val="8"/>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960"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423" w:type="dxa"/>
            <w:gridSpan w:val="8"/>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943" w:type="dxa"/>
            <w:gridSpan w:val="5"/>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74" w:type="dxa"/>
            <w:gridSpan w:val="8"/>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50" w:type="dxa"/>
            <w:gridSpan w:val="7"/>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868" w:type="dxa"/>
            <w:gridSpan w:val="7"/>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081" w:type="dxa"/>
            <w:gridSpan w:val="8"/>
            <w:tcBorders>
              <w:bottom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4616" w:type="dxa"/>
            <w:gridSpan w:val="35"/>
            <w:tcBorders>
              <w:bottom w:val="single" w:color="1F497D" w:sz="4" w:space="0"/>
            </w:tcBorders>
          </w:tcPr>
          <w:p>
            <w:pPr>
              <w:tabs>
                <w:tab w:val="left" w:pos="4678"/>
              </w:tabs>
              <w:spacing w:after="0" w:line="240" w:lineRule="auto"/>
              <w:jc w:val="both"/>
              <w:rPr>
                <w:rFonts w:cs="Calibri"/>
                <w:i/>
                <w:iCs/>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integrasi layanan, pendidikan dan penelitian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pengarus-utamaan riset pusat studi untuk kesehatan masyarakat</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3"/>
                <w:szCs w:val="3"/>
              </w:rPr>
            </w:pPr>
          </w:p>
        </w:tc>
        <w:tc>
          <w:tcPr>
            <w:tcW w:w="283" w:type="dxa"/>
            <w:gridSpan w:val="2"/>
          </w:tcPr>
          <w:p>
            <w:pPr>
              <w:tabs>
                <w:tab w:val="left" w:pos="4678"/>
              </w:tabs>
              <w:spacing w:after="0" w:line="240" w:lineRule="auto"/>
              <w:jc w:val="center"/>
              <w:rPr>
                <w:rFonts w:cs="Calibri"/>
                <w:b/>
                <w:bCs/>
                <w:color w:val="000000"/>
                <w:sz w:val="2"/>
                <w:szCs w:val="2"/>
              </w:rPr>
            </w:pPr>
          </w:p>
        </w:tc>
        <w:tc>
          <w:tcPr>
            <w:tcW w:w="5560" w:type="dxa"/>
            <w:gridSpan w:val="30"/>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right w:val="single" w:color="1F497D" w:sz="4" w:space="0"/>
            </w:tcBorders>
          </w:tcPr>
          <w:p>
            <w:pPr>
              <w:tabs>
                <w:tab w:val="left" w:pos="4678"/>
              </w:tabs>
              <w:spacing w:after="0" w:line="240" w:lineRule="auto"/>
              <w:rPr>
                <w:rFonts w:cs="Calibri"/>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787"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616" w:type="dxa"/>
            <w:gridSpan w:val="35"/>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 Kepatuhan Clinical Pathway yang Sejalan Kurikulum Pendidikan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 xml:space="preserve">Jumlah Publikasi Riset </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74" w:type="dxa"/>
            <w:gridSpan w:val="8"/>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50"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68"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081" w:type="dxa"/>
            <w:gridSpan w:val="8"/>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Clinical pathway adalah sebuah pemetaan mengenai tindakan klinis untuk diagnosis tertentu dalam waktu tertentu, yang mendokumentasikan clinical practice terbaik berdasarkan praktek klinik berbasis bukti. CP harus mendapatkan approval dari pimpinan RSHS dan FKUP.</w:t>
            </w:r>
          </w:p>
          <w:p>
            <w:pPr>
              <w:tabs>
                <w:tab w:val="left" w:pos="4678"/>
              </w:tabs>
              <w:spacing w:after="0" w:line="240" w:lineRule="auto"/>
              <w:jc w:val="both"/>
              <w:rPr>
                <w:rFonts w:cs="Arial"/>
                <w:sz w:val="20"/>
                <w:szCs w:val="20"/>
              </w:rPr>
            </w:pPr>
            <w:r>
              <w:rPr>
                <w:rFonts w:cs="Arial"/>
                <w:sz w:val="20"/>
                <w:szCs w:val="20"/>
              </w:rPr>
              <w:t>Kepatuhan clinical pathway adalah kepatuhan para peserta didik dan supervisor staf medis/DPJP dalam menggunakan clinical pathway sesuai kurikulum pendidikan untuk memberikan asuhan klinis pasien secara terstandardisasi dan terintegrasi sehingga dapat meminimalkan adanya variasi proses asuhan klinis.</w:t>
            </w:r>
          </w:p>
          <w:p>
            <w:pPr>
              <w:tabs>
                <w:tab w:val="left" w:pos="4678"/>
              </w:tabs>
              <w:spacing w:after="0" w:line="240" w:lineRule="auto"/>
              <w:jc w:val="both"/>
              <w:rPr>
                <w:rFonts w:cs="Calibri"/>
                <w:color w:val="000000"/>
                <w:sz w:val="20"/>
                <w:szCs w:val="20"/>
                <w:lang w:val="sv-SE"/>
              </w:rPr>
            </w:pPr>
            <w:r>
              <w:rPr>
                <w:rFonts w:cs="Arial"/>
                <w:sz w:val="20"/>
                <w:szCs w:val="20"/>
              </w:rPr>
              <w:t>Evaluasi atau cara penilaian kepatuhan clinical pathway dilakukan dengan audit medik secara bulanan oleh Komite Medik.</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 xml:space="preserve">Publikasi riset translasional adalah publikasi pada jurnal nasional terakreditasi atau internasional bereputasi yang memiliki kaitan terhadap pelayanan dan kebijakan kesehatan secara langsung sesuai definisi :" </w:t>
            </w:r>
            <w:r>
              <w:rPr>
                <w:rFonts w:cs="Arial"/>
                <w:i/>
                <w:sz w:val="20"/>
                <w:szCs w:val="20"/>
              </w:rPr>
              <w:t>bench-to-bedside” enterprise of translating knowledge from the basic sciences into the development of new treatments; and research that translating the findings from clinical trials into everyday practice</w:t>
            </w:r>
            <w:r>
              <w:rPr>
                <w:rFonts w:cs="Arial"/>
                <w:sz w:val="20"/>
                <w:szCs w:val="20"/>
              </w:rPr>
              <w:t xml:space="preserve">" </w:t>
            </w:r>
          </w:p>
          <w:p>
            <w:pPr>
              <w:tabs>
                <w:tab w:val="left" w:pos="4678"/>
              </w:tabs>
              <w:spacing w:after="0" w:line="240" w:lineRule="auto"/>
              <w:jc w:val="both"/>
              <w:rPr>
                <w:rFonts w:cs="Arial"/>
                <w:sz w:val="20"/>
                <w:szCs w:val="20"/>
              </w:rPr>
            </w:pPr>
          </w:p>
          <w:p>
            <w:pPr>
              <w:tabs>
                <w:tab w:val="left" w:pos="4678"/>
              </w:tabs>
              <w:spacing w:after="0" w:line="240" w:lineRule="auto"/>
              <w:jc w:val="both"/>
              <w:rPr>
                <w:rFonts w:cs="Arial"/>
                <w:sz w:val="20"/>
                <w:szCs w:val="20"/>
              </w:rPr>
            </w:pPr>
          </w:p>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874"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850"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868"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1081"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87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Jumlah CP yang sesuai dengan kurikulum yang diimplementasikan dibagi jumlah semua CP x 100%</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Jumlah publikasi riset translasional yang dimuat pada jurnal terakreditasi nasional atau jurnal bereputasi internasional pada satu tahun tertentu dengan salah satu penulis berasal dari RSHS.</w:t>
            </w:r>
          </w:p>
          <w:p>
            <w:pPr>
              <w:spacing w:before="60" w:after="0" w:line="240" w:lineRule="auto"/>
              <w:rPr>
                <w:rFonts w:cs="Arial"/>
                <w:sz w:val="20"/>
                <w:szCs w:val="20"/>
              </w:rPr>
            </w:pPr>
          </w:p>
          <w:p>
            <w:pPr>
              <w:spacing w:before="60" w:after="0" w:line="240" w:lineRule="auto"/>
              <w:rPr>
                <w:rFonts w:cs="Arial"/>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p>
            <w:pPr>
              <w:tabs>
                <w:tab w:val="left" w:pos="4678"/>
              </w:tabs>
              <w:spacing w:after="0" w:line="240" w:lineRule="auto"/>
              <w:jc w:val="both"/>
              <w:rPr>
                <w:rFonts w:ascii="Times New Roman" w:hAnsi="Times New Roman"/>
                <w:color w:val="000000"/>
                <w:sz w:val="2"/>
                <w:szCs w:val="2"/>
              </w:rPr>
            </w:pPr>
          </w:p>
          <w:p>
            <w:pPr>
              <w:tabs>
                <w:tab w:val="left" w:pos="4678"/>
              </w:tabs>
              <w:spacing w:after="0" w:line="240" w:lineRule="auto"/>
              <w:jc w:val="both"/>
              <w:rPr>
                <w:rFonts w:ascii="Times New Roman" w:hAnsi="Times New Roman"/>
                <w:color w:val="000000"/>
                <w:sz w:val="2"/>
                <w:szCs w:val="2"/>
              </w:rPr>
            </w:pPr>
          </w:p>
          <w:p>
            <w:pPr>
              <w:tabs>
                <w:tab w:val="left" w:pos="4678"/>
              </w:tabs>
              <w:spacing w:after="0" w:line="240" w:lineRule="auto"/>
              <w:jc w:val="both"/>
              <w:rPr>
                <w:rFonts w:ascii="Times New Roman" w:hAnsi="Times New Roman"/>
                <w:color w:val="000000"/>
                <w:sz w:val="2"/>
                <w:szCs w:val="2"/>
              </w:rPr>
            </w:pPr>
          </w:p>
          <w:p>
            <w:pPr>
              <w:tabs>
                <w:tab w:val="left" w:pos="4678"/>
              </w:tabs>
              <w:spacing w:after="0" w:line="240" w:lineRule="auto"/>
              <w:jc w:val="both"/>
              <w:rPr>
                <w:rFonts w:ascii="Times New Roman" w:hAnsi="Times New Roman"/>
                <w:color w:val="000000"/>
                <w:sz w:val="2"/>
                <w:szCs w:val="2"/>
              </w:rPr>
            </w:pPr>
          </w:p>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874"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850"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868"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1081"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874"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850"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868"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1081"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Medik &amp; Keperawatan RSHS</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SDM dan Pendidikan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5560" w:type="dxa"/>
            <w:gridSpan w:val="30"/>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4"/>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787"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616" w:type="dxa"/>
            <w:gridSpan w:val="3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color w:val="000000"/>
                <w:sz w:val="20"/>
                <w:szCs w:val="20"/>
              </w:rPr>
            </w:pPr>
            <w:r>
              <w:rPr>
                <w:rFonts w:cs="Arial"/>
                <w:sz w:val="20"/>
                <w:szCs w:val="20"/>
              </w:rPr>
              <w:t>Rekam Medik, Hasil Audit Medik, Kurikulum Pendidikan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xml:space="preserve">Sumber Data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Bagian Diklit RSHS</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1F497D" w:sz="4" w:space="0"/>
            </w:tcBorders>
          </w:tcPr>
          <w:p>
            <w:pPr>
              <w:tabs>
                <w:tab w:val="left" w:pos="4678"/>
              </w:tabs>
              <w:spacing w:after="0" w:line="240" w:lineRule="auto"/>
              <w:jc w:val="both"/>
              <w:rPr>
                <w:rFonts w:cs="Calibri"/>
                <w:color w:val="000000"/>
                <w:sz w:val="2"/>
                <w:szCs w:val="2"/>
              </w:rPr>
            </w:pPr>
          </w:p>
        </w:tc>
        <w:tc>
          <w:tcPr>
            <w:tcW w:w="874"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850"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868" w:type="dxa"/>
            <w:gridSpan w:val="7"/>
            <w:tcBorders>
              <w:bottom w:val="single" w:color="1F497D" w:sz="4" w:space="0"/>
            </w:tcBorders>
          </w:tcPr>
          <w:p>
            <w:pPr>
              <w:tabs>
                <w:tab w:val="left" w:pos="4678"/>
              </w:tabs>
              <w:spacing w:after="0" w:line="240" w:lineRule="auto"/>
              <w:jc w:val="both"/>
              <w:rPr>
                <w:rFonts w:cs="Calibri"/>
                <w:color w:val="000000"/>
                <w:sz w:val="2"/>
                <w:szCs w:val="2"/>
              </w:rPr>
            </w:pPr>
          </w:p>
        </w:tc>
        <w:tc>
          <w:tcPr>
            <w:tcW w:w="1081" w:type="dxa"/>
            <w:gridSpan w:val="8"/>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186"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560" w:type="dxa"/>
            <w:gridSpan w:val="30"/>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3 Bulanan</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616" w:type="dxa"/>
            <w:gridSpan w:val="3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787" w:type="dxa"/>
            <w:gridSpan w:val="4"/>
          </w:tcPr>
          <w:p>
            <w:pPr>
              <w:tabs>
                <w:tab w:val="left" w:pos="4678"/>
              </w:tabs>
              <w:spacing w:after="0" w:line="240" w:lineRule="auto"/>
              <w:rPr>
                <w:rFonts w:cs="Calibri"/>
                <w:b/>
                <w:bCs/>
                <w:color w:val="000000"/>
                <w:sz w:val="2"/>
                <w:szCs w:val="2"/>
              </w:rPr>
            </w:pPr>
            <w:r>
              <w:rPr>
                <w:rFonts w:cs="Calibri"/>
                <w:b/>
                <w:bCs/>
                <w:color w:val="000000"/>
                <w:sz w:val="2"/>
                <w:szCs w:val="2"/>
              </w:rPr>
              <w:t> </w:t>
            </w: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auto" w:sz="4" w:space="0"/>
            </w:tcBorders>
          </w:tcPr>
          <w:p>
            <w:pPr>
              <w:tabs>
                <w:tab w:val="left" w:pos="4678"/>
              </w:tabs>
              <w:spacing w:after="0" w:line="240" w:lineRule="auto"/>
              <w:rPr>
                <w:rFonts w:cs="Calibri"/>
                <w:color w:val="000000"/>
                <w:sz w:val="2"/>
                <w:szCs w:val="2"/>
              </w:rPr>
            </w:pPr>
          </w:p>
        </w:tc>
        <w:tc>
          <w:tcPr>
            <w:tcW w:w="874" w:type="dxa"/>
            <w:gridSpan w:val="8"/>
            <w:tcBorders>
              <w:bottom w:val="single" w:color="auto" w:sz="4" w:space="0"/>
            </w:tcBorders>
          </w:tcPr>
          <w:p>
            <w:pPr>
              <w:tabs>
                <w:tab w:val="left" w:pos="4678"/>
              </w:tabs>
              <w:spacing w:after="0" w:line="240" w:lineRule="auto"/>
              <w:rPr>
                <w:rFonts w:cs="Calibri"/>
                <w:color w:val="000000"/>
                <w:sz w:val="2"/>
                <w:szCs w:val="2"/>
              </w:rPr>
            </w:pPr>
          </w:p>
        </w:tc>
        <w:tc>
          <w:tcPr>
            <w:tcW w:w="850" w:type="dxa"/>
            <w:gridSpan w:val="7"/>
            <w:tcBorders>
              <w:bottom w:val="single" w:color="auto" w:sz="4" w:space="0"/>
            </w:tcBorders>
          </w:tcPr>
          <w:p>
            <w:pPr>
              <w:tabs>
                <w:tab w:val="left" w:pos="4678"/>
              </w:tabs>
              <w:spacing w:after="0" w:line="240" w:lineRule="auto"/>
              <w:rPr>
                <w:rFonts w:cs="Calibri"/>
                <w:color w:val="000000"/>
                <w:sz w:val="2"/>
                <w:szCs w:val="2"/>
              </w:rPr>
            </w:pPr>
          </w:p>
        </w:tc>
        <w:tc>
          <w:tcPr>
            <w:tcW w:w="868" w:type="dxa"/>
            <w:gridSpan w:val="7"/>
            <w:tcBorders>
              <w:bottom w:val="single" w:color="auto" w:sz="4" w:space="0"/>
            </w:tcBorders>
          </w:tcPr>
          <w:p>
            <w:pPr>
              <w:tabs>
                <w:tab w:val="left" w:pos="4678"/>
              </w:tabs>
              <w:spacing w:after="0" w:line="240" w:lineRule="auto"/>
              <w:rPr>
                <w:rFonts w:cs="Calibri"/>
                <w:color w:val="000000"/>
                <w:sz w:val="2"/>
                <w:szCs w:val="2"/>
              </w:rPr>
            </w:pPr>
          </w:p>
        </w:tc>
        <w:tc>
          <w:tcPr>
            <w:tcW w:w="1081" w:type="dxa"/>
            <w:gridSpan w:val="8"/>
            <w:tcBorders>
              <w:bottom w:val="single" w:color="auto"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2"/>
          <w:wAfter w:w="12" w:type="dxa"/>
          <w:trHeight w:val="21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5560" w:type="dxa"/>
            <w:gridSpan w:val="30"/>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color w:val="000000"/>
                <w:sz w:val="20"/>
                <w:szCs w:val="20"/>
                <w:lang w:val="id-ID"/>
              </w:rPr>
            </w:pPr>
            <w:r>
              <w:rPr>
                <w:color w:val="000000"/>
                <w:sz w:val="20"/>
                <w:szCs w:val="20"/>
                <w:lang w:val="id-ID"/>
              </w:rPr>
              <w:t>5 dari 105</w:t>
            </w:r>
          </w:p>
        </w:tc>
        <w:tc>
          <w:tcPr>
            <w:tcW w:w="262" w:type="dxa"/>
            <w:gridSpan w:val="4"/>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787" w:type="dxa"/>
            <w:gridSpan w:val="4"/>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616" w:type="dxa"/>
            <w:gridSpan w:val="35"/>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color w:val="000000"/>
                <w:sz w:val="20"/>
                <w:szCs w:val="20"/>
              </w:rPr>
            </w:pPr>
            <w:r>
              <w:rPr>
                <w:rFonts w:cs="Calibri"/>
                <w:color w:val="000000"/>
                <w:sz w:val="20"/>
                <w:szCs w:val="20"/>
              </w:rPr>
              <w:t>60</w:t>
            </w:r>
          </w:p>
        </w:tc>
        <w:tc>
          <w:tcPr>
            <w:tcW w:w="262" w:type="dxa"/>
            <w:gridSpan w:val="2"/>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2"/>
          <w:wAfter w:w="12"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ascii="Times New Roman" w:hAnsi="Times New Roman"/>
                <w:color w:val="000000"/>
                <w:sz w:val="2"/>
                <w:szCs w:val="2"/>
              </w:rPr>
            </w:pP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960"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423"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62" w:type="dxa"/>
            <w:gridSpan w:val="4"/>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787" w:type="dxa"/>
            <w:gridSpan w:val="4"/>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943" w:type="dxa"/>
            <w:gridSpan w:val="5"/>
            <w:tcBorders>
              <w:bottom w:val="single" w:color="1F497D" w:sz="4" w:space="0"/>
            </w:tcBorders>
          </w:tcPr>
          <w:p>
            <w:pPr>
              <w:tabs>
                <w:tab w:val="left" w:pos="4678"/>
              </w:tabs>
              <w:spacing w:after="0" w:line="240" w:lineRule="auto"/>
              <w:rPr>
                <w:rFonts w:cs="Calibri"/>
                <w:color w:val="000000"/>
                <w:sz w:val="2"/>
                <w:szCs w:val="2"/>
              </w:rPr>
            </w:pPr>
          </w:p>
        </w:tc>
        <w:tc>
          <w:tcPr>
            <w:tcW w:w="874" w:type="dxa"/>
            <w:gridSpan w:val="8"/>
            <w:tcBorders>
              <w:bottom w:val="single" w:color="1F497D" w:sz="4" w:space="0"/>
            </w:tcBorders>
          </w:tcPr>
          <w:p>
            <w:pPr>
              <w:tabs>
                <w:tab w:val="left" w:pos="4678"/>
              </w:tabs>
              <w:spacing w:after="0" w:line="240" w:lineRule="auto"/>
              <w:rPr>
                <w:rFonts w:cs="Calibri"/>
                <w:color w:val="000000"/>
                <w:sz w:val="2"/>
                <w:szCs w:val="2"/>
              </w:rPr>
            </w:pPr>
          </w:p>
        </w:tc>
        <w:tc>
          <w:tcPr>
            <w:tcW w:w="850" w:type="dxa"/>
            <w:gridSpan w:val="7"/>
            <w:tcBorders>
              <w:bottom w:val="single" w:color="1F497D" w:sz="4" w:space="0"/>
            </w:tcBorders>
          </w:tcPr>
          <w:p>
            <w:pPr>
              <w:tabs>
                <w:tab w:val="left" w:pos="4678"/>
              </w:tabs>
              <w:spacing w:after="0" w:line="240" w:lineRule="auto"/>
              <w:rPr>
                <w:rFonts w:cs="Calibri"/>
                <w:color w:val="000000"/>
                <w:sz w:val="2"/>
                <w:szCs w:val="2"/>
              </w:rPr>
            </w:pPr>
          </w:p>
        </w:tc>
        <w:tc>
          <w:tcPr>
            <w:tcW w:w="868" w:type="dxa"/>
            <w:gridSpan w:val="7"/>
            <w:tcBorders>
              <w:bottom w:val="single" w:color="1F497D" w:sz="4" w:space="0"/>
            </w:tcBorders>
          </w:tcPr>
          <w:p>
            <w:pPr>
              <w:tabs>
                <w:tab w:val="left" w:pos="4678"/>
              </w:tabs>
              <w:spacing w:after="0" w:line="240" w:lineRule="auto"/>
              <w:rPr>
                <w:rFonts w:cs="Calibri"/>
                <w:color w:val="000000"/>
                <w:sz w:val="2"/>
                <w:szCs w:val="2"/>
              </w:rPr>
            </w:pPr>
          </w:p>
        </w:tc>
        <w:tc>
          <w:tcPr>
            <w:tcW w:w="1081" w:type="dxa"/>
            <w:gridSpan w:val="8"/>
            <w:tcBorders>
              <w:bottom w:val="single" w:color="1F497D" w:sz="4" w:space="0"/>
            </w:tcBorders>
          </w:tcPr>
          <w:p>
            <w:pPr>
              <w:tabs>
                <w:tab w:val="left" w:pos="4678"/>
              </w:tabs>
              <w:spacing w:after="0" w:line="240" w:lineRule="auto"/>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399"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1102"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1101" w:type="dxa"/>
            <w:gridSpan w:val="9"/>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1102"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856" w:type="dxa"/>
            <w:gridSpan w:val="6"/>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Target</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066"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97"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970"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58"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625" w:type="dxa"/>
            <w:gridSpan w:val="5"/>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399"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rPr>
              <w:t>4</w:t>
            </w:r>
            <w:r>
              <w:rPr>
                <w:rFonts w:cs="Arial"/>
                <w:sz w:val="20"/>
                <w:szCs w:val="20"/>
                <w:lang w:val="id-ID"/>
              </w:rPr>
              <w:t>0%</w:t>
            </w:r>
          </w:p>
        </w:tc>
        <w:tc>
          <w:tcPr>
            <w:tcW w:w="1102"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rPr>
              <w:t>5</w:t>
            </w:r>
            <w:r>
              <w:rPr>
                <w:rFonts w:cs="Arial"/>
                <w:sz w:val="20"/>
                <w:szCs w:val="20"/>
                <w:lang w:val="id-ID"/>
              </w:rPr>
              <w:t>0%</w:t>
            </w:r>
          </w:p>
        </w:tc>
        <w:tc>
          <w:tcPr>
            <w:tcW w:w="1101" w:type="dxa"/>
            <w:gridSpan w:val="9"/>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70%</w:t>
            </w:r>
          </w:p>
        </w:tc>
        <w:tc>
          <w:tcPr>
            <w:tcW w:w="1102"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en-US"/>
              </w:rPr>
              <w:t>90</w:t>
            </w:r>
            <w:r>
              <w:rPr>
                <w:rFonts w:cs="Arial"/>
                <w:sz w:val="20"/>
                <w:szCs w:val="20"/>
                <w:lang w:val="id-ID"/>
              </w:rPr>
              <w:t>%</w:t>
            </w:r>
          </w:p>
        </w:tc>
        <w:tc>
          <w:tcPr>
            <w:tcW w:w="856"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90%</w:t>
            </w:r>
          </w:p>
        </w:tc>
        <w:tc>
          <w:tcPr>
            <w:tcW w:w="262" w:type="dxa"/>
            <w:gridSpan w:val="4"/>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787" w:type="dxa"/>
            <w:gridSpan w:val="4"/>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1066"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997"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150</w:t>
            </w:r>
          </w:p>
        </w:tc>
        <w:tc>
          <w:tcPr>
            <w:tcW w:w="970"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165</w:t>
            </w:r>
          </w:p>
        </w:tc>
        <w:tc>
          <w:tcPr>
            <w:tcW w:w="958"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182</w:t>
            </w:r>
          </w:p>
        </w:tc>
        <w:tc>
          <w:tcPr>
            <w:tcW w:w="625"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200</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2"/>
          <w:wAfter w:w="12" w:type="dxa"/>
          <w:trHeight w:val="20" w:hRule="atLeast"/>
          <w:jc w:val="center"/>
        </w:trPr>
        <w:tc>
          <w:tcPr>
            <w:tcW w:w="266"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7667" w:type="dxa"/>
            <w:gridSpan w:val="34"/>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62" w:type="dxa"/>
            <w:gridSpan w:val="4"/>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gridSpan w:val="2"/>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686" w:type="dxa"/>
            <w:gridSpan w:val="41"/>
            <w:tcBorders>
              <w:bottom w:val="single" w:color="1F497D" w:sz="4" w:space="0"/>
            </w:tcBorders>
          </w:tcPr>
          <w:p>
            <w:pPr>
              <w:tabs>
                <w:tab w:val="left" w:pos="4678"/>
              </w:tabs>
              <w:spacing w:after="0" w:line="240" w:lineRule="auto"/>
              <w:rPr>
                <w:rFonts w:cs="Calibri"/>
                <w:color w:val="000000"/>
                <w:sz w:val="2"/>
                <w:szCs w:val="18"/>
              </w:rPr>
            </w:pPr>
          </w:p>
        </w:tc>
        <w:tc>
          <w:tcPr>
            <w:tcW w:w="262"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gridAfter w:val="5"/>
          <w:wAfter w:w="464" w:type="dxa"/>
          <w:trHeight w:val="142" w:hRule="atLeast"/>
          <w:jc w:val="center"/>
        </w:trPr>
        <w:tc>
          <w:tcPr>
            <w:tcW w:w="7395" w:type="dxa"/>
            <w:gridSpan w:val="32"/>
            <w:tcBorders>
              <w:bottom w:val="single" w:color="1F497D" w:sz="4" w:space="0"/>
            </w:tcBorders>
            <w:shd w:val="clear" w:color="auto" w:fill="EBCC6E"/>
            <w:vAlign w:val="center"/>
          </w:tcPr>
          <w:p>
            <w:pPr>
              <w:pStyle w:val="40"/>
              <w:tabs>
                <w:tab w:val="left" w:pos="4678"/>
              </w:tabs>
              <w:spacing w:before="40"/>
              <w:rPr>
                <w:rFonts w:eastAsia="Times New Roman"/>
                <w:lang w:val="sv-SE"/>
              </w:rPr>
            </w:pPr>
            <w:r>
              <w:t>K</w:t>
            </w:r>
            <w:r>
              <w:rPr>
                <w:rFonts w:eastAsia="Times New Roman"/>
                <w:lang w:val="sv-SE"/>
              </w:rPr>
              <w:t xml:space="preserve">PI-14. </w:t>
            </w:r>
            <w:r>
              <w:rPr>
                <w:rFonts w:cs="Arial"/>
                <w:color w:val="000000"/>
              </w:rPr>
              <w:t>Jumlah SPO bersama RSHS-FKUP yang diimplementasikan</w:t>
            </w:r>
          </w:p>
        </w:tc>
        <w:tc>
          <w:tcPr>
            <w:tcW w:w="300" w:type="dxa"/>
            <w:gridSpan w:val="3"/>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564" w:type="dxa"/>
            <w:gridSpan w:val="49"/>
            <w:tcBorders>
              <w:bottom w:val="single" w:color="1F497D" w:sz="4" w:space="0"/>
            </w:tcBorders>
            <w:shd w:val="clear" w:color="auto" w:fill="EBCC6E"/>
          </w:tcPr>
          <w:p>
            <w:pPr>
              <w:pStyle w:val="40"/>
              <w:tabs>
                <w:tab w:val="left" w:pos="4678"/>
              </w:tabs>
              <w:spacing w:before="40"/>
              <w:rPr>
                <w:color w:val="FF0000"/>
              </w:rPr>
            </w:pPr>
            <w:r>
              <w:t xml:space="preserve">KPI-16. </w:t>
            </w:r>
            <w:r>
              <w:rPr>
                <w:rFonts w:cs="Arial"/>
                <w:color w:val="000000"/>
              </w:rPr>
              <w:t>Tingkat keandalan sarpras</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4750" w:type="dxa"/>
            <w:gridSpan w:val="25"/>
            <w:tcBorders>
              <w:top w:val="single" w:color="1F497D" w:sz="4" w:space="0"/>
            </w:tcBorders>
          </w:tcPr>
          <w:p>
            <w:pPr>
              <w:tabs>
                <w:tab w:val="left" w:pos="4678"/>
              </w:tabs>
              <w:spacing w:after="0" w:line="240" w:lineRule="auto"/>
              <w:rPr>
                <w:rFonts w:cs="Calibri"/>
                <w:b/>
                <w:bCs/>
                <w:color w:val="000000"/>
                <w:sz w:val="4"/>
                <w:szCs w:val="10"/>
              </w:rPr>
            </w:pPr>
          </w:p>
        </w:tc>
        <w:tc>
          <w:tcPr>
            <w:tcW w:w="27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3"/>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37" w:type="dxa"/>
            <w:gridSpan w:val="7"/>
            <w:tcBorders>
              <w:top w:val="single" w:color="1F497D" w:sz="4" w:space="0"/>
            </w:tcBorders>
          </w:tcPr>
          <w:p>
            <w:pPr>
              <w:tabs>
                <w:tab w:val="left" w:pos="4678"/>
              </w:tabs>
              <w:spacing w:after="0" w:line="240" w:lineRule="auto"/>
              <w:rPr>
                <w:rFonts w:cs="Calibri"/>
                <w:b/>
                <w:bCs/>
                <w:color w:val="FF0000"/>
                <w:sz w:val="4"/>
                <w:szCs w:val="10"/>
              </w:rPr>
            </w:pPr>
          </w:p>
        </w:tc>
        <w:tc>
          <w:tcPr>
            <w:tcW w:w="283" w:type="dxa"/>
            <w:tcBorders>
              <w:top w:val="single" w:color="1F497D" w:sz="4" w:space="0"/>
            </w:tcBorders>
          </w:tcPr>
          <w:p>
            <w:pPr>
              <w:tabs>
                <w:tab w:val="left" w:pos="4678"/>
              </w:tabs>
              <w:spacing w:after="0" w:line="240" w:lineRule="auto"/>
              <w:rPr>
                <w:rFonts w:cs="Calibri"/>
                <w:b/>
                <w:bCs/>
                <w:color w:val="FF0000"/>
                <w:sz w:val="4"/>
                <w:szCs w:val="10"/>
              </w:rPr>
            </w:pPr>
          </w:p>
        </w:tc>
        <w:tc>
          <w:tcPr>
            <w:tcW w:w="4895" w:type="dxa"/>
            <w:gridSpan w:val="37"/>
            <w:tcBorders>
              <w:top w:val="single" w:color="1F497D" w:sz="4" w:space="0"/>
            </w:tcBorders>
          </w:tcPr>
          <w:p>
            <w:pPr>
              <w:tabs>
                <w:tab w:val="left" w:pos="4678"/>
              </w:tabs>
              <w:spacing w:after="0" w:line="240" w:lineRule="auto"/>
              <w:rPr>
                <w:rFonts w:cs="Calibri"/>
                <w:b/>
                <w:bCs/>
                <w:color w:val="FF0000"/>
                <w:sz w:val="4"/>
                <w:szCs w:val="10"/>
              </w:rPr>
            </w:pPr>
          </w:p>
        </w:tc>
        <w:tc>
          <w:tcPr>
            <w:tcW w:w="281"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5"/>
          <w:wAfter w:w="464" w:type="dxa"/>
          <w:trHeight w:val="19"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5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2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676" w:type="dxa"/>
            <w:gridSpan w:val="5"/>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42"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348" w:type="dxa"/>
            <w:gridSpan w:val="8"/>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283" w:type="dxa"/>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1049" w:type="dxa"/>
            <w:gridSpan w:val="7"/>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912" w:type="dxa"/>
            <w:gridSpan w:val="6"/>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937" w:type="dxa"/>
            <w:gridSpan w:val="8"/>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712" w:type="dxa"/>
            <w:gridSpan w:val="5"/>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1285" w:type="dxa"/>
            <w:gridSpan w:val="11"/>
            <w:tcBorders>
              <w:bottom w:val="single" w:color="1F497D" w:sz="4" w:space="0"/>
            </w:tcBorders>
          </w:tcPr>
          <w:p>
            <w:pPr>
              <w:tabs>
                <w:tab w:val="left" w:pos="4678"/>
              </w:tabs>
              <w:spacing w:after="0" w:line="240" w:lineRule="auto"/>
              <w:rPr>
                <w:rFonts w:cs="Calibri"/>
                <w:color w:val="FF0000"/>
                <w:sz w:val="2"/>
                <w:szCs w:val="2"/>
              </w:rPr>
            </w:pPr>
            <w:r>
              <w:rPr>
                <w:rFonts w:cs="Calibri"/>
                <w:color w:val="FF0000"/>
                <w:sz w:val="2"/>
                <w:szCs w:val="2"/>
              </w:rPr>
              <w:t> </w:t>
            </w: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Proses Bisnis Internal</w:t>
            </w:r>
          </w:p>
        </w:tc>
        <w:tc>
          <w:tcPr>
            <w:tcW w:w="272"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Learning &amp; Growth</w:t>
            </w:r>
          </w:p>
        </w:tc>
        <w:tc>
          <w:tcPr>
            <w:tcW w:w="281"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cs="Calibri"/>
                <w:i/>
                <w:iCs/>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4895" w:type="dxa"/>
            <w:gridSpan w:val="37"/>
            <w:tcBorders>
              <w:bottom w:val="single" w:color="1F497D" w:sz="4" w:space="0"/>
            </w:tcBorders>
          </w:tcPr>
          <w:p>
            <w:pPr>
              <w:tabs>
                <w:tab w:val="left" w:pos="4678"/>
              </w:tabs>
              <w:spacing w:after="0" w:line="240" w:lineRule="auto"/>
              <w:jc w:val="both"/>
              <w:rPr>
                <w:rFonts w:cs="Calibri"/>
                <w:i/>
                <w:iCs/>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pengarus-utamaan riset pusat studi untuk kesehatan masyarakat</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sarana prasarana yang andal</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3"/>
                <w:szCs w:val="3"/>
              </w:rPr>
            </w:pPr>
          </w:p>
        </w:tc>
        <w:tc>
          <w:tcPr>
            <w:tcW w:w="283" w:type="dxa"/>
            <w:gridSpan w:val="2"/>
          </w:tcPr>
          <w:p>
            <w:pPr>
              <w:tabs>
                <w:tab w:val="left" w:pos="4678"/>
              </w:tabs>
              <w:spacing w:after="0" w:line="240" w:lineRule="auto"/>
              <w:jc w:val="center"/>
              <w:rPr>
                <w:rFonts w:cs="Calibri"/>
                <w:b/>
                <w:bCs/>
                <w:color w:val="000000"/>
                <w:sz w:val="2"/>
                <w:szCs w:val="2"/>
              </w:rPr>
            </w:pPr>
          </w:p>
        </w:tc>
        <w:tc>
          <w:tcPr>
            <w:tcW w:w="4750" w:type="dxa"/>
            <w:gridSpan w:val="2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2" w:type="dxa"/>
            <w:tcBorders>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4895" w:type="dxa"/>
            <w:gridSpan w:val="37"/>
            <w:tcBorders>
              <w:bottom w:val="single" w:color="1F497D" w:sz="4" w:space="0"/>
            </w:tcBorders>
          </w:tcPr>
          <w:p>
            <w:pPr>
              <w:tabs>
                <w:tab w:val="left" w:pos="4678"/>
              </w:tabs>
              <w:spacing w:after="0" w:line="240" w:lineRule="auto"/>
              <w:jc w:val="both"/>
              <w:rPr>
                <w:rFonts w:cs="Calibri"/>
                <w:color w:val="00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Jumlah SPO bersama RSHS-RSMC-FKUP yang diimplementasikan</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Tingkat keandalan sarpras</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049" w:type="dxa"/>
            <w:gridSpan w:val="7"/>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912" w:type="dxa"/>
            <w:gridSpan w:val="6"/>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937" w:type="dxa"/>
            <w:gridSpan w:val="8"/>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712" w:type="dxa"/>
            <w:gridSpan w:val="5"/>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1285" w:type="dxa"/>
            <w:gridSpan w:val="11"/>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1768"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lang w:val="sv-SE"/>
              </w:rPr>
            </w:pPr>
            <w:r>
              <w:rPr>
                <w:rFonts w:cs="Arial"/>
                <w:sz w:val="20"/>
                <w:szCs w:val="20"/>
              </w:rPr>
              <w:t xml:space="preserve">Jumlah SPO yang dikembangkan secara bersama oleh RSHS-FKUP sesuai dengan peraturan menteri kesehatan  1144 tahun 2010 (?), permendikbud no 64 tahun 2013, dan telah dilaksanakan secara konsisten selama minimal 3 bulan. Pengecekan implementasi SPO dilakukan secara sampling pada unit kerja. </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spacing w:after="0" w:line="240" w:lineRule="auto"/>
              <w:jc w:val="both"/>
              <w:rPr>
                <w:rFonts w:cs="Arial"/>
                <w:sz w:val="20"/>
                <w:szCs w:val="20"/>
              </w:rPr>
            </w:pPr>
            <w:r>
              <w:rPr>
                <w:rFonts w:cs="Arial"/>
                <w:sz w:val="20"/>
                <w:szCs w:val="20"/>
              </w:rPr>
              <w:t>Tingkat kehandalan sarana dan prasarana atau Overall Equipment Effectiveness (OEE) adalah hasil pengukuran kehandalan sarana dan prasarana tertentu yang dilihat dari 3 aspek yaitu : ketersediaan, kinerja dan kualitas.</w:t>
            </w:r>
          </w:p>
          <w:p>
            <w:pPr>
              <w:spacing w:after="0" w:line="240" w:lineRule="auto"/>
              <w:jc w:val="both"/>
              <w:rPr>
                <w:rFonts w:cs="Arial"/>
                <w:sz w:val="20"/>
                <w:szCs w:val="20"/>
              </w:rPr>
            </w:pPr>
            <w:r>
              <w:rPr>
                <w:rFonts w:cs="Arial"/>
                <w:sz w:val="20"/>
                <w:szCs w:val="20"/>
              </w:rPr>
              <w:t>A. Ketersediaan (availability) : Ke, adalah perbandingan  jumlah hari alat beroperasi dibagi jumlah hari alat tsb direncanakan beroperasi</w:t>
            </w:r>
          </w:p>
          <w:p>
            <w:pPr>
              <w:spacing w:after="0" w:line="240" w:lineRule="auto"/>
              <w:jc w:val="both"/>
              <w:rPr>
                <w:rFonts w:cs="Arial"/>
                <w:sz w:val="20"/>
                <w:szCs w:val="20"/>
              </w:rPr>
            </w:pPr>
            <w:r>
              <w:rPr>
                <w:rFonts w:cs="Arial"/>
                <w:sz w:val="20"/>
                <w:szCs w:val="20"/>
              </w:rPr>
              <w:t xml:space="preserve">B. Kinerja (performance) : Ki, adalah kemampuan alat yang ada dibagi kemampuan ideal alat </w:t>
            </w:r>
          </w:p>
          <w:p>
            <w:pPr>
              <w:spacing w:after="0" w:line="240" w:lineRule="auto"/>
              <w:jc w:val="both"/>
              <w:rPr>
                <w:rFonts w:cs="Arial"/>
                <w:sz w:val="20"/>
                <w:szCs w:val="20"/>
              </w:rPr>
            </w:pPr>
            <w:r>
              <w:rPr>
                <w:rFonts w:cs="Arial"/>
                <w:sz w:val="20"/>
                <w:szCs w:val="20"/>
              </w:rPr>
              <w:t>C. Kualitas (quality) : Ku, adalah keluaran yang baik yang dihasilkan oleh suatu alat dibagi dengan total keluaran dari alat tersebut</w:t>
            </w:r>
          </w:p>
          <w:p>
            <w:pPr>
              <w:tabs>
                <w:tab w:val="left" w:pos="4678"/>
              </w:tabs>
              <w:spacing w:after="0" w:line="240" w:lineRule="auto"/>
              <w:jc w:val="both"/>
              <w:rPr>
                <w:rFonts w:cs="Calibri"/>
                <w:color w:val="FF0000"/>
                <w:sz w:val="20"/>
                <w:szCs w:val="20"/>
              </w:rPr>
            </w:pPr>
            <w:r>
              <w:rPr>
                <w:rFonts w:cs="Arial"/>
                <w:sz w:val="20"/>
                <w:szCs w:val="20"/>
              </w:rPr>
              <w:t> Alat yang akan diukur meliputi a.l. PET-Scan, Radioterapi, Cathlab, Viraload, USG, Ventilator, Electrophysiology, FISH,</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049" w:type="dxa"/>
            <w:gridSpan w:val="7"/>
            <w:tcBorders>
              <w:bottom w:val="single" w:color="1F497D" w:sz="4" w:space="0"/>
            </w:tcBorders>
          </w:tcPr>
          <w:p>
            <w:pPr>
              <w:tabs>
                <w:tab w:val="left" w:pos="4678"/>
              </w:tabs>
              <w:spacing w:after="0" w:line="240" w:lineRule="auto"/>
              <w:jc w:val="both"/>
              <w:rPr>
                <w:rFonts w:cs="Calibri"/>
                <w:color w:val="FF0000"/>
                <w:sz w:val="2"/>
                <w:szCs w:val="2"/>
              </w:rPr>
            </w:pPr>
          </w:p>
        </w:tc>
        <w:tc>
          <w:tcPr>
            <w:tcW w:w="912"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93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712" w:type="dxa"/>
            <w:gridSpan w:val="5"/>
            <w:tcBorders>
              <w:bottom w:val="single" w:color="1F497D" w:sz="4" w:space="0"/>
            </w:tcBorders>
          </w:tcPr>
          <w:p>
            <w:pPr>
              <w:tabs>
                <w:tab w:val="left" w:pos="4678"/>
              </w:tabs>
              <w:spacing w:after="0" w:line="240" w:lineRule="auto"/>
              <w:jc w:val="both"/>
              <w:rPr>
                <w:rFonts w:cs="Calibri"/>
                <w:color w:val="FF0000"/>
                <w:sz w:val="2"/>
                <w:szCs w:val="2"/>
              </w:rPr>
            </w:pPr>
          </w:p>
        </w:tc>
        <w:tc>
          <w:tcPr>
            <w:tcW w:w="1285" w:type="dxa"/>
            <w:gridSpan w:val="11"/>
            <w:tcBorders>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Jumlah SPO bersama yang baru dan telah dilaksanakan oleh RSHS-RSMC-FKUP</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color w:val="FF0000"/>
                <w:sz w:val="20"/>
                <w:szCs w:val="20"/>
              </w:rPr>
            </w:pPr>
            <w:r>
              <w:rPr>
                <w:rFonts w:cs="Arial"/>
                <w:sz w:val="20"/>
                <w:szCs w:val="20"/>
              </w:rPr>
              <w:t>OEE = Ka x Ki x Ku</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049" w:type="dxa"/>
            <w:gridSpan w:val="7"/>
            <w:tcBorders>
              <w:bottom w:val="single" w:color="1F497D" w:sz="4" w:space="0"/>
            </w:tcBorders>
          </w:tcPr>
          <w:p>
            <w:pPr>
              <w:tabs>
                <w:tab w:val="left" w:pos="4678"/>
              </w:tabs>
              <w:spacing w:after="0" w:line="240" w:lineRule="auto"/>
              <w:jc w:val="both"/>
              <w:rPr>
                <w:rFonts w:cs="Calibri"/>
                <w:color w:val="FF0000"/>
                <w:sz w:val="2"/>
                <w:szCs w:val="2"/>
              </w:rPr>
            </w:pPr>
          </w:p>
        </w:tc>
        <w:tc>
          <w:tcPr>
            <w:tcW w:w="912"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93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712" w:type="dxa"/>
            <w:gridSpan w:val="5"/>
            <w:tcBorders>
              <w:bottom w:val="single" w:color="1F497D" w:sz="4" w:space="0"/>
            </w:tcBorders>
          </w:tcPr>
          <w:p>
            <w:pPr>
              <w:tabs>
                <w:tab w:val="left" w:pos="4678"/>
              </w:tabs>
              <w:spacing w:after="0" w:line="240" w:lineRule="auto"/>
              <w:jc w:val="both"/>
              <w:rPr>
                <w:rFonts w:cs="Calibri"/>
                <w:color w:val="FF0000"/>
                <w:sz w:val="2"/>
                <w:szCs w:val="2"/>
              </w:rPr>
            </w:pPr>
          </w:p>
        </w:tc>
        <w:tc>
          <w:tcPr>
            <w:tcW w:w="1285" w:type="dxa"/>
            <w:gridSpan w:val="11"/>
            <w:tcBorders>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049" w:type="dxa"/>
            <w:gridSpan w:val="7"/>
            <w:tcBorders>
              <w:bottom w:val="single" w:color="1F497D" w:sz="4" w:space="0"/>
            </w:tcBorders>
          </w:tcPr>
          <w:p>
            <w:pPr>
              <w:tabs>
                <w:tab w:val="left" w:pos="4678"/>
              </w:tabs>
              <w:spacing w:after="0" w:line="240" w:lineRule="auto"/>
              <w:jc w:val="both"/>
              <w:rPr>
                <w:rFonts w:cs="Calibri"/>
                <w:color w:val="FF0000"/>
                <w:sz w:val="2"/>
                <w:szCs w:val="2"/>
              </w:rPr>
            </w:pPr>
          </w:p>
        </w:tc>
        <w:tc>
          <w:tcPr>
            <w:tcW w:w="912"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93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712" w:type="dxa"/>
            <w:gridSpan w:val="5"/>
            <w:tcBorders>
              <w:bottom w:val="single" w:color="1F497D" w:sz="4" w:space="0"/>
            </w:tcBorders>
          </w:tcPr>
          <w:p>
            <w:pPr>
              <w:tabs>
                <w:tab w:val="left" w:pos="4678"/>
              </w:tabs>
              <w:spacing w:after="0" w:line="240" w:lineRule="auto"/>
              <w:jc w:val="both"/>
              <w:rPr>
                <w:rFonts w:cs="Calibri"/>
                <w:color w:val="FF0000"/>
                <w:sz w:val="2"/>
                <w:szCs w:val="2"/>
              </w:rPr>
            </w:pPr>
          </w:p>
        </w:tc>
        <w:tc>
          <w:tcPr>
            <w:tcW w:w="1285" w:type="dxa"/>
            <w:gridSpan w:val="11"/>
            <w:tcBorders>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Umum dan Operasional RSHS</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Arial"/>
                <w:sz w:val="20"/>
                <w:szCs w:val="20"/>
              </w:rPr>
              <w:t>Direktur Umum dan Operasional  RSHS, DirMed</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750" w:type="dxa"/>
            <w:gridSpan w:val="2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2" w:type="dxa"/>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4895" w:type="dxa"/>
            <w:gridSpan w:val="37"/>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color w:val="000000"/>
                <w:sz w:val="20"/>
                <w:szCs w:val="20"/>
              </w:rPr>
            </w:pPr>
            <w:r>
              <w:rPr>
                <w:rFonts w:cs="Arial"/>
                <w:sz w:val="20"/>
                <w:szCs w:val="20"/>
              </w:rPr>
              <w:t>Urusan Hukum dan Tatalaksana FK Unpad, Bagian hukum dan kemitraan RSHS, RSMC</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837" w:type="dxa"/>
            <w:gridSpan w:val="7"/>
          </w:tcPr>
          <w:p>
            <w:pPr>
              <w:tabs>
                <w:tab w:val="left" w:pos="4678"/>
              </w:tabs>
              <w:spacing w:after="0" w:line="240" w:lineRule="auto"/>
              <w:rPr>
                <w:rFonts w:cs="Calibri"/>
                <w:b/>
                <w:bCs/>
                <w:sz w:val="20"/>
                <w:szCs w:val="20"/>
              </w:rPr>
            </w:pPr>
            <w:r>
              <w:rPr>
                <w:rFonts w:cs="Calibri"/>
                <w:b/>
                <w:bCs/>
                <w:sz w:val="20"/>
                <w:szCs w:val="20"/>
              </w:rPr>
              <w:t xml:space="preserve">Sumber Data </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FF0000"/>
                <w:sz w:val="20"/>
                <w:szCs w:val="20"/>
              </w:rPr>
            </w:pPr>
            <w:r>
              <w:rPr>
                <w:rFonts w:cs="Arial"/>
                <w:sz w:val="20"/>
                <w:szCs w:val="20"/>
              </w:rPr>
              <w:t>Simak BMN,  Kartu alat</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283" w:type="dxa"/>
          </w:tcPr>
          <w:p>
            <w:pPr>
              <w:tabs>
                <w:tab w:val="left" w:pos="4678"/>
              </w:tabs>
              <w:spacing w:after="0" w:line="240" w:lineRule="auto"/>
              <w:jc w:val="center"/>
              <w:rPr>
                <w:rFonts w:cs="Calibri"/>
                <w:b/>
                <w:bCs/>
                <w:color w:val="FF0000"/>
                <w:sz w:val="2"/>
                <w:szCs w:val="2"/>
              </w:rPr>
            </w:pPr>
          </w:p>
        </w:tc>
        <w:tc>
          <w:tcPr>
            <w:tcW w:w="1049" w:type="dxa"/>
            <w:gridSpan w:val="7"/>
            <w:tcBorders>
              <w:bottom w:val="single" w:color="1F497D" w:sz="4" w:space="0"/>
            </w:tcBorders>
          </w:tcPr>
          <w:p>
            <w:pPr>
              <w:tabs>
                <w:tab w:val="left" w:pos="4678"/>
              </w:tabs>
              <w:spacing w:after="0" w:line="240" w:lineRule="auto"/>
              <w:jc w:val="both"/>
              <w:rPr>
                <w:rFonts w:cs="Calibri"/>
                <w:color w:val="FF0000"/>
                <w:sz w:val="2"/>
                <w:szCs w:val="2"/>
              </w:rPr>
            </w:pPr>
          </w:p>
        </w:tc>
        <w:tc>
          <w:tcPr>
            <w:tcW w:w="912"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93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712" w:type="dxa"/>
            <w:gridSpan w:val="5"/>
            <w:tcBorders>
              <w:bottom w:val="single" w:color="1F497D" w:sz="4" w:space="0"/>
            </w:tcBorders>
          </w:tcPr>
          <w:p>
            <w:pPr>
              <w:tabs>
                <w:tab w:val="left" w:pos="4678"/>
              </w:tabs>
              <w:spacing w:after="0" w:line="240" w:lineRule="auto"/>
              <w:jc w:val="both"/>
              <w:rPr>
                <w:rFonts w:cs="Calibri"/>
                <w:color w:val="FF0000"/>
                <w:sz w:val="2"/>
                <w:szCs w:val="2"/>
              </w:rPr>
            </w:pPr>
          </w:p>
        </w:tc>
        <w:tc>
          <w:tcPr>
            <w:tcW w:w="1285" w:type="dxa"/>
            <w:gridSpan w:val="11"/>
            <w:tcBorders>
              <w:bottom w:val="single" w:color="1F497D" w:sz="4" w:space="0"/>
            </w:tcBorders>
          </w:tcPr>
          <w:p>
            <w:pPr>
              <w:tabs>
                <w:tab w:val="left" w:pos="4678"/>
              </w:tabs>
              <w:spacing w:after="0" w:line="240" w:lineRule="auto"/>
              <w:jc w:val="both"/>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186"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6 Bulanan</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4895" w:type="dxa"/>
            <w:gridSpan w:val="3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FF0000"/>
                <w:sz w:val="20"/>
                <w:szCs w:val="20"/>
              </w:rPr>
            </w:pPr>
            <w:r>
              <w:rPr>
                <w:rFonts w:cs="Arial"/>
                <w:sz w:val="20"/>
                <w:szCs w:val="20"/>
              </w:rPr>
              <w:t>Tahunan</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sz w:val="2"/>
                <w:szCs w:val="2"/>
              </w:rPr>
            </w:pPr>
            <w:r>
              <w:rPr>
                <w:rFonts w:cs="Calibri"/>
                <w:b/>
                <w:bCs/>
                <w:sz w:val="2"/>
                <w:szCs w:val="2"/>
              </w:rPr>
              <w:t> </w:t>
            </w:r>
          </w:p>
        </w:tc>
        <w:tc>
          <w:tcPr>
            <w:tcW w:w="283" w:type="dxa"/>
          </w:tcPr>
          <w:p>
            <w:pPr>
              <w:tabs>
                <w:tab w:val="left" w:pos="4678"/>
              </w:tabs>
              <w:spacing w:after="0" w:line="240" w:lineRule="auto"/>
              <w:jc w:val="center"/>
              <w:rPr>
                <w:rFonts w:cs="Calibri"/>
                <w:b/>
                <w:bCs/>
                <w:sz w:val="2"/>
                <w:szCs w:val="2"/>
              </w:rPr>
            </w:pPr>
          </w:p>
        </w:tc>
        <w:tc>
          <w:tcPr>
            <w:tcW w:w="1049" w:type="dxa"/>
            <w:gridSpan w:val="7"/>
            <w:tcBorders>
              <w:bottom w:val="single" w:color="auto" w:sz="4" w:space="0"/>
            </w:tcBorders>
          </w:tcPr>
          <w:p>
            <w:pPr>
              <w:tabs>
                <w:tab w:val="left" w:pos="4678"/>
              </w:tabs>
              <w:spacing w:after="0" w:line="240" w:lineRule="auto"/>
              <w:rPr>
                <w:rFonts w:cs="Calibri"/>
                <w:color w:val="FF0000"/>
                <w:sz w:val="2"/>
                <w:szCs w:val="2"/>
              </w:rPr>
            </w:pPr>
          </w:p>
        </w:tc>
        <w:tc>
          <w:tcPr>
            <w:tcW w:w="912" w:type="dxa"/>
            <w:gridSpan w:val="6"/>
            <w:tcBorders>
              <w:bottom w:val="single" w:color="auto" w:sz="4" w:space="0"/>
            </w:tcBorders>
          </w:tcPr>
          <w:p>
            <w:pPr>
              <w:tabs>
                <w:tab w:val="left" w:pos="4678"/>
              </w:tabs>
              <w:spacing w:after="0" w:line="240" w:lineRule="auto"/>
              <w:rPr>
                <w:rFonts w:cs="Calibri"/>
                <w:color w:val="FF0000"/>
                <w:sz w:val="2"/>
                <w:szCs w:val="2"/>
              </w:rPr>
            </w:pPr>
          </w:p>
        </w:tc>
        <w:tc>
          <w:tcPr>
            <w:tcW w:w="937" w:type="dxa"/>
            <w:gridSpan w:val="8"/>
            <w:tcBorders>
              <w:bottom w:val="single" w:color="auto" w:sz="4" w:space="0"/>
            </w:tcBorders>
          </w:tcPr>
          <w:p>
            <w:pPr>
              <w:tabs>
                <w:tab w:val="left" w:pos="4678"/>
              </w:tabs>
              <w:spacing w:after="0" w:line="240" w:lineRule="auto"/>
              <w:rPr>
                <w:rFonts w:cs="Calibri"/>
                <w:color w:val="FF0000"/>
                <w:sz w:val="2"/>
                <w:szCs w:val="2"/>
              </w:rPr>
            </w:pPr>
          </w:p>
        </w:tc>
        <w:tc>
          <w:tcPr>
            <w:tcW w:w="712" w:type="dxa"/>
            <w:gridSpan w:val="5"/>
            <w:tcBorders>
              <w:bottom w:val="single" w:color="auto" w:sz="4" w:space="0"/>
            </w:tcBorders>
          </w:tcPr>
          <w:p>
            <w:pPr>
              <w:tabs>
                <w:tab w:val="left" w:pos="4678"/>
              </w:tabs>
              <w:spacing w:after="0" w:line="240" w:lineRule="auto"/>
              <w:rPr>
                <w:rFonts w:cs="Calibri"/>
                <w:color w:val="FF0000"/>
                <w:sz w:val="2"/>
                <w:szCs w:val="2"/>
              </w:rPr>
            </w:pPr>
          </w:p>
        </w:tc>
        <w:tc>
          <w:tcPr>
            <w:tcW w:w="1285" w:type="dxa"/>
            <w:gridSpan w:val="11"/>
            <w:tcBorders>
              <w:bottom w:val="single" w:color="auto" w:sz="4" w:space="0"/>
            </w:tcBorders>
          </w:tcPr>
          <w:p>
            <w:pPr>
              <w:tabs>
                <w:tab w:val="left" w:pos="4678"/>
              </w:tabs>
              <w:spacing w:after="0" w:line="240" w:lineRule="auto"/>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5"/>
          <w:wAfter w:w="464" w:type="dxa"/>
          <w:trHeight w:val="21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4750" w:type="dxa"/>
            <w:gridSpan w:val="25"/>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ascii="Times New Roman" w:hAnsi="Times New Roman"/>
                <w:color w:val="000000"/>
                <w:sz w:val="20"/>
                <w:szCs w:val="20"/>
                <w:lang w:val="id-ID"/>
              </w:rPr>
            </w:pPr>
            <w:r>
              <w:rPr>
                <w:rFonts w:ascii="Times New Roman" w:hAnsi="Times New Roman"/>
                <w:color w:val="000000"/>
                <w:sz w:val="20"/>
                <w:szCs w:val="20"/>
                <w:lang w:val="id-ID"/>
              </w:rPr>
              <w:t>0</w:t>
            </w:r>
          </w:p>
        </w:tc>
        <w:tc>
          <w:tcPr>
            <w:tcW w:w="272" w:type="dxa"/>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837" w:type="dxa"/>
            <w:gridSpan w:val="7"/>
          </w:tcPr>
          <w:p>
            <w:pPr>
              <w:tabs>
                <w:tab w:val="left" w:pos="4678"/>
              </w:tabs>
              <w:spacing w:after="0" w:line="240" w:lineRule="auto"/>
              <w:rPr>
                <w:rFonts w:cs="Calibri"/>
                <w:b/>
                <w:bCs/>
                <w:sz w:val="20"/>
                <w:szCs w:val="20"/>
                <w:lang w:val="id-ID"/>
              </w:rPr>
            </w:pPr>
            <w:r>
              <w:rPr>
                <w:rFonts w:cs="Calibri"/>
                <w:b/>
                <w:bCs/>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sz w:val="20"/>
                <w:szCs w:val="20"/>
                <w:lang w:val="id-ID"/>
              </w:rPr>
            </w:pPr>
            <w:r>
              <w:rPr>
                <w:rFonts w:ascii="Times New Roman" w:hAnsi="Times New Roman"/>
                <w:sz w:val="20"/>
                <w:szCs w:val="20"/>
                <w:lang w:val="id-ID"/>
              </w:rPr>
              <w:t>:</w:t>
            </w:r>
          </w:p>
        </w:tc>
        <w:tc>
          <w:tcPr>
            <w:tcW w:w="4895" w:type="dxa"/>
            <w:gridSpan w:val="37"/>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cs="Calibri"/>
                <w:color w:val="FF0000"/>
                <w:sz w:val="20"/>
                <w:szCs w:val="20"/>
                <w:lang w:val="id-ID"/>
              </w:rPr>
            </w:pPr>
            <w:r>
              <w:rPr>
                <w:rFonts w:cs="Calibri"/>
                <w:color w:val="000000"/>
                <w:sz w:val="20"/>
                <w:szCs w:val="20"/>
              </w:rPr>
              <w:t>Belum ada</w:t>
            </w:r>
          </w:p>
        </w:tc>
        <w:tc>
          <w:tcPr>
            <w:tcW w:w="281" w:type="dxa"/>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5"/>
          <w:wAfter w:w="464"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ascii="Times New Roman" w:hAnsi="Times New Roman"/>
                <w:color w:val="000000"/>
                <w:sz w:val="2"/>
                <w:szCs w:val="2"/>
              </w:rPr>
            </w:pP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42"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348" w:type="dxa"/>
            <w:gridSpan w:val="8"/>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sz w:val="2"/>
                <w:szCs w:val="2"/>
              </w:rPr>
            </w:pPr>
          </w:p>
        </w:tc>
        <w:tc>
          <w:tcPr>
            <w:tcW w:w="283" w:type="dxa"/>
          </w:tcPr>
          <w:p>
            <w:pPr>
              <w:tabs>
                <w:tab w:val="left" w:pos="4678"/>
              </w:tabs>
              <w:spacing w:after="0" w:line="240" w:lineRule="auto"/>
              <w:jc w:val="center"/>
              <w:rPr>
                <w:rFonts w:cs="Calibri"/>
                <w:b/>
                <w:bCs/>
                <w:sz w:val="2"/>
                <w:szCs w:val="2"/>
              </w:rPr>
            </w:pPr>
          </w:p>
        </w:tc>
        <w:tc>
          <w:tcPr>
            <w:tcW w:w="1049" w:type="dxa"/>
            <w:gridSpan w:val="7"/>
            <w:tcBorders>
              <w:bottom w:val="single" w:color="1F497D" w:sz="4" w:space="0"/>
            </w:tcBorders>
          </w:tcPr>
          <w:p>
            <w:pPr>
              <w:tabs>
                <w:tab w:val="left" w:pos="4678"/>
              </w:tabs>
              <w:spacing w:after="0" w:line="240" w:lineRule="auto"/>
              <w:rPr>
                <w:rFonts w:cs="Calibri"/>
                <w:color w:val="FF0000"/>
                <w:sz w:val="2"/>
                <w:szCs w:val="2"/>
              </w:rPr>
            </w:pPr>
          </w:p>
        </w:tc>
        <w:tc>
          <w:tcPr>
            <w:tcW w:w="912" w:type="dxa"/>
            <w:gridSpan w:val="6"/>
            <w:tcBorders>
              <w:bottom w:val="single" w:color="1F497D" w:sz="4" w:space="0"/>
            </w:tcBorders>
          </w:tcPr>
          <w:p>
            <w:pPr>
              <w:tabs>
                <w:tab w:val="left" w:pos="4678"/>
              </w:tabs>
              <w:spacing w:after="0" w:line="240" w:lineRule="auto"/>
              <w:rPr>
                <w:rFonts w:cs="Calibri"/>
                <w:color w:val="FF0000"/>
                <w:sz w:val="2"/>
                <w:szCs w:val="2"/>
              </w:rPr>
            </w:pPr>
          </w:p>
        </w:tc>
        <w:tc>
          <w:tcPr>
            <w:tcW w:w="937" w:type="dxa"/>
            <w:gridSpan w:val="8"/>
            <w:tcBorders>
              <w:bottom w:val="single" w:color="1F497D" w:sz="4" w:space="0"/>
            </w:tcBorders>
          </w:tcPr>
          <w:p>
            <w:pPr>
              <w:tabs>
                <w:tab w:val="left" w:pos="4678"/>
              </w:tabs>
              <w:spacing w:after="0" w:line="240" w:lineRule="auto"/>
              <w:rPr>
                <w:rFonts w:cs="Calibri"/>
                <w:color w:val="FF0000"/>
                <w:sz w:val="2"/>
                <w:szCs w:val="2"/>
              </w:rPr>
            </w:pPr>
          </w:p>
        </w:tc>
        <w:tc>
          <w:tcPr>
            <w:tcW w:w="712" w:type="dxa"/>
            <w:gridSpan w:val="5"/>
            <w:tcBorders>
              <w:bottom w:val="single" w:color="1F497D" w:sz="4" w:space="0"/>
            </w:tcBorders>
          </w:tcPr>
          <w:p>
            <w:pPr>
              <w:tabs>
                <w:tab w:val="left" w:pos="4678"/>
              </w:tabs>
              <w:spacing w:after="0" w:line="240" w:lineRule="auto"/>
              <w:rPr>
                <w:rFonts w:cs="Calibri"/>
                <w:color w:val="FF0000"/>
                <w:sz w:val="2"/>
                <w:szCs w:val="2"/>
              </w:rPr>
            </w:pPr>
          </w:p>
        </w:tc>
        <w:tc>
          <w:tcPr>
            <w:tcW w:w="1285" w:type="dxa"/>
            <w:gridSpan w:val="11"/>
            <w:tcBorders>
              <w:bottom w:val="single" w:color="1F497D" w:sz="4" w:space="0"/>
            </w:tcBorders>
          </w:tcPr>
          <w:p>
            <w:pPr>
              <w:tabs>
                <w:tab w:val="left" w:pos="4678"/>
              </w:tabs>
              <w:spacing w:after="0" w:line="240" w:lineRule="auto"/>
              <w:rPr>
                <w:rFonts w:cs="Calibri"/>
                <w:color w:val="FF0000"/>
                <w:sz w:val="2"/>
                <w:szCs w:val="2"/>
              </w:rPr>
            </w:pPr>
          </w:p>
        </w:tc>
        <w:tc>
          <w:tcPr>
            <w:tcW w:w="281" w:type="dxa"/>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883" w:type="dxa"/>
            <w:gridSpan w:val="6"/>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92"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891" w:type="dxa"/>
            <w:gridSpan w:val="5"/>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sz w:val="20"/>
                <w:szCs w:val="20"/>
              </w:rPr>
            </w:pPr>
            <w:r>
              <w:rPr>
                <w:rFonts w:cs="Calibri"/>
                <w:b/>
                <w:bCs/>
                <w:sz w:val="20"/>
                <w:szCs w:val="20"/>
              </w:rPr>
              <w:t>Target</w:t>
            </w:r>
          </w:p>
        </w:tc>
        <w:tc>
          <w:tcPr>
            <w:tcW w:w="283" w:type="dxa"/>
            <w:tcBorders>
              <w:right w:val="single" w:color="1F497D" w:sz="4" w:space="0"/>
            </w:tcBorders>
          </w:tcPr>
          <w:p>
            <w:pPr>
              <w:tabs>
                <w:tab w:val="left" w:pos="4678"/>
              </w:tabs>
              <w:spacing w:after="0" w:line="240" w:lineRule="auto"/>
              <w:jc w:val="center"/>
              <w:rPr>
                <w:rFonts w:cs="Calibri"/>
                <w:b/>
                <w:bCs/>
                <w:sz w:val="20"/>
                <w:szCs w:val="20"/>
              </w:rPr>
            </w:pPr>
            <w:r>
              <w:rPr>
                <w:rFonts w:cs="Calibri"/>
                <w:b/>
                <w:bCs/>
                <w:sz w:val="20"/>
                <w:szCs w:val="20"/>
              </w:rPr>
              <w:t>:</w:t>
            </w:r>
          </w:p>
        </w:tc>
        <w:tc>
          <w:tcPr>
            <w:tcW w:w="1049"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5</w:t>
            </w:r>
          </w:p>
        </w:tc>
        <w:tc>
          <w:tcPr>
            <w:tcW w:w="1096"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6</w:t>
            </w:r>
          </w:p>
        </w:tc>
        <w:tc>
          <w:tcPr>
            <w:tcW w:w="850"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7</w:t>
            </w:r>
          </w:p>
        </w:tc>
        <w:tc>
          <w:tcPr>
            <w:tcW w:w="993"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lang w:val="id-ID"/>
                <w14:textFill>
                  <w14:solidFill>
                    <w14:schemeClr w14:val="bg1"/>
                  </w14:solidFill>
                </w14:textFill>
              </w:rPr>
              <w:t>201</w:t>
            </w:r>
            <w:r>
              <w:rPr>
                <w:rFonts w:cs="Calibri"/>
                <w:b/>
                <w:color w:val="FFFFFF" w:themeColor="background1"/>
                <w:sz w:val="20"/>
                <w:szCs w:val="20"/>
                <w14:textFill>
                  <w14:solidFill>
                    <w14:schemeClr w14:val="bg1"/>
                  </w14:solidFill>
                </w14:textFill>
              </w:rPr>
              <w:t>8</w:t>
            </w:r>
          </w:p>
        </w:tc>
        <w:tc>
          <w:tcPr>
            <w:tcW w:w="907" w:type="dxa"/>
            <w:gridSpan w:val="8"/>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themeColor="background1"/>
                <w:sz w:val="20"/>
                <w:szCs w:val="20"/>
                <w14:textFill>
                  <w14:solidFill>
                    <w14:schemeClr w14:val="bg1"/>
                  </w14:solidFill>
                </w14:textFill>
              </w:rPr>
            </w:pPr>
            <w:r>
              <w:rPr>
                <w:rFonts w:cs="Calibri"/>
                <w:b/>
                <w:color w:val="FFFFFF" w:themeColor="background1"/>
                <w:sz w:val="20"/>
                <w:szCs w:val="20"/>
                <w14:textFill>
                  <w14:solidFill>
                    <w14:schemeClr w14:val="bg1"/>
                  </w14:solidFill>
                </w14:textFill>
              </w:rPr>
              <w:t>2019</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2</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5</w:t>
            </w:r>
          </w:p>
        </w:tc>
        <w:tc>
          <w:tcPr>
            <w:tcW w:w="883" w:type="dxa"/>
            <w:gridSpan w:val="6"/>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5</w:t>
            </w:r>
          </w:p>
        </w:tc>
        <w:tc>
          <w:tcPr>
            <w:tcW w:w="992"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7</w:t>
            </w:r>
          </w:p>
        </w:tc>
        <w:tc>
          <w:tcPr>
            <w:tcW w:w="891"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283" w:type="dxa"/>
            <w:tcBorders>
              <w:right w:val="single" w:color="1F497D" w:sz="4" w:space="0"/>
            </w:tcBorders>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1049" w:type="dxa"/>
            <w:gridSpan w:val="7"/>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color w:val="FF0000"/>
                <w:sz w:val="20"/>
                <w:szCs w:val="20"/>
                <w:lang w:val="id-ID"/>
              </w:rPr>
            </w:pPr>
          </w:p>
        </w:tc>
        <w:tc>
          <w:tcPr>
            <w:tcW w:w="1096" w:type="dxa"/>
            <w:gridSpan w:val="7"/>
            <w:tcBorders>
              <w:top w:val="single" w:color="1F497D" w:sz="4" w:space="0"/>
              <w:left w:val="single" w:color="1F497D" w:sz="4" w:space="0"/>
              <w:bottom w:val="single" w:color="1F497D" w:sz="4" w:space="0"/>
              <w:right w:val="single" w:color="1F497D" w:sz="4" w:space="0"/>
            </w:tcBorders>
            <w:shd w:val="clear" w:color="auto" w:fill="E4EDE6" w:themeFill="accent5" w:themeFillTint="33"/>
            <w:vAlign w:val="center"/>
          </w:tcPr>
          <w:p>
            <w:pPr>
              <w:spacing w:before="60" w:after="0" w:line="240" w:lineRule="auto"/>
              <w:jc w:val="center"/>
              <w:rPr>
                <w:rFonts w:cs="Arial"/>
                <w:color w:val="FF0000"/>
                <w:sz w:val="20"/>
                <w:szCs w:val="20"/>
                <w:lang w:val="id-ID"/>
              </w:rPr>
            </w:pPr>
          </w:p>
        </w:tc>
        <w:tc>
          <w:tcPr>
            <w:tcW w:w="850"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78%</w:t>
            </w:r>
          </w:p>
        </w:tc>
        <w:tc>
          <w:tcPr>
            <w:tcW w:w="993"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85%</w:t>
            </w:r>
          </w:p>
        </w:tc>
        <w:tc>
          <w:tcPr>
            <w:tcW w:w="907"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90%</w:t>
            </w:r>
          </w:p>
        </w:tc>
        <w:tc>
          <w:tcPr>
            <w:tcW w:w="281"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5"/>
          <w:wAfter w:w="464" w:type="dxa"/>
          <w:trHeight w:val="20" w:hRule="atLeast"/>
          <w:jc w:val="center"/>
        </w:trPr>
        <w:tc>
          <w:tcPr>
            <w:tcW w:w="266"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6857" w:type="dxa"/>
            <w:gridSpan w:val="29"/>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7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3"/>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7015" w:type="dxa"/>
            <w:gridSpan w:val="45"/>
            <w:tcBorders>
              <w:bottom w:val="single" w:color="1F497D" w:sz="4" w:space="0"/>
            </w:tcBorders>
          </w:tcPr>
          <w:p>
            <w:pPr>
              <w:tabs>
                <w:tab w:val="left" w:pos="4678"/>
              </w:tabs>
              <w:spacing w:after="0" w:line="240" w:lineRule="auto"/>
              <w:rPr>
                <w:rFonts w:cs="Calibri"/>
                <w:color w:val="000000"/>
                <w:sz w:val="2"/>
                <w:szCs w:val="18"/>
              </w:rPr>
            </w:pPr>
          </w:p>
        </w:tc>
        <w:tc>
          <w:tcPr>
            <w:tcW w:w="281"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gridAfter w:val="7"/>
          <w:wAfter w:w="812" w:type="dxa"/>
          <w:trHeight w:val="20" w:hRule="atLeast"/>
          <w:jc w:val="center"/>
        </w:trPr>
        <w:tc>
          <w:tcPr>
            <w:tcW w:w="7395" w:type="dxa"/>
            <w:gridSpan w:val="32"/>
            <w:tcBorders>
              <w:bottom w:val="single" w:color="1F497D" w:sz="4" w:space="0"/>
            </w:tcBorders>
            <w:shd w:val="clear" w:color="auto" w:fill="EBCC6E"/>
            <w:vAlign w:val="center"/>
          </w:tcPr>
          <w:p>
            <w:pPr>
              <w:pStyle w:val="40"/>
              <w:tabs>
                <w:tab w:val="left" w:pos="4678"/>
              </w:tabs>
              <w:spacing w:before="40"/>
              <w:rPr>
                <w:rFonts w:eastAsia="Times New Roman"/>
                <w:lang w:val="sv-SE"/>
              </w:rPr>
            </w:pPr>
            <w:r>
              <w:t>K</w:t>
            </w:r>
            <w:r>
              <w:rPr>
                <w:rFonts w:eastAsia="Times New Roman"/>
                <w:lang w:val="sv-SE"/>
              </w:rPr>
              <w:t xml:space="preserve">PI-17. </w:t>
            </w:r>
            <w:r>
              <w:rPr>
                <w:rFonts w:cs="Arial"/>
                <w:color w:val="000000"/>
              </w:rPr>
              <w:t>Persentase kasus ditangani dokter penanggungjawab pelayanan (DPJP)</w:t>
            </w:r>
            <w:r>
              <w:rPr>
                <w:rFonts w:cs="Arial"/>
                <w:color w:val="000000"/>
              </w:rPr>
              <w:tab/>
            </w:r>
          </w:p>
        </w:tc>
        <w:tc>
          <w:tcPr>
            <w:tcW w:w="300" w:type="dxa"/>
            <w:gridSpan w:val="3"/>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216" w:type="dxa"/>
            <w:gridSpan w:val="47"/>
            <w:tcBorders>
              <w:bottom w:val="single" w:color="1F497D" w:sz="4" w:space="0"/>
            </w:tcBorders>
            <w:shd w:val="clear" w:color="auto" w:fill="EBCC6E"/>
          </w:tcPr>
          <w:p>
            <w:pPr>
              <w:pStyle w:val="40"/>
              <w:tabs>
                <w:tab w:val="left" w:pos="4678"/>
              </w:tabs>
              <w:spacing w:before="40"/>
              <w:rPr>
                <w:color w:val="FF0000"/>
              </w:rPr>
            </w:pPr>
            <w:r>
              <w:t>K</w:t>
            </w:r>
            <w:r>
              <w:rPr>
                <w:rFonts w:eastAsia="Times New Roman"/>
                <w:lang w:val="sv-SE"/>
              </w:rPr>
              <w:t xml:space="preserve">PI-18. </w:t>
            </w:r>
            <w:r>
              <w:rPr>
                <w:rFonts w:cs="Arial"/>
                <w:color w:val="000000"/>
              </w:rPr>
              <w:t>POBO (Rasio Pendapatan PNBP terhadap Biaya Operasional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24"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283"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4750" w:type="dxa"/>
            <w:gridSpan w:val="25"/>
            <w:tcBorders>
              <w:top w:val="single" w:color="1F497D" w:sz="4" w:space="0"/>
            </w:tcBorders>
          </w:tcPr>
          <w:p>
            <w:pPr>
              <w:tabs>
                <w:tab w:val="left" w:pos="4678"/>
              </w:tabs>
              <w:spacing w:after="0" w:line="240" w:lineRule="auto"/>
              <w:rPr>
                <w:rFonts w:cs="Calibri"/>
                <w:b/>
                <w:bCs/>
                <w:color w:val="000000"/>
                <w:sz w:val="4"/>
                <w:szCs w:val="10"/>
              </w:rPr>
            </w:pPr>
          </w:p>
        </w:tc>
        <w:tc>
          <w:tcPr>
            <w:tcW w:w="272" w:type="dxa"/>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4"/>
                <w:szCs w:val="10"/>
              </w:rPr>
            </w:pPr>
          </w:p>
        </w:tc>
        <w:tc>
          <w:tcPr>
            <w:tcW w:w="268" w:type="dxa"/>
            <w:gridSpan w:val="3"/>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37" w:type="dxa"/>
            <w:gridSpan w:val="7"/>
            <w:tcBorders>
              <w:top w:val="single" w:color="1F497D" w:sz="4" w:space="0"/>
            </w:tcBorders>
          </w:tcPr>
          <w:p>
            <w:pPr>
              <w:tabs>
                <w:tab w:val="left" w:pos="4678"/>
              </w:tabs>
              <w:spacing w:after="0" w:line="240" w:lineRule="auto"/>
              <w:rPr>
                <w:rFonts w:cs="Calibri"/>
                <w:b/>
                <w:bCs/>
                <w:color w:val="FF0000"/>
                <w:sz w:val="4"/>
                <w:szCs w:val="10"/>
              </w:rPr>
            </w:pPr>
          </w:p>
        </w:tc>
        <w:tc>
          <w:tcPr>
            <w:tcW w:w="283" w:type="dxa"/>
            <w:tcBorders>
              <w:top w:val="single" w:color="1F497D" w:sz="4" w:space="0"/>
            </w:tcBorders>
          </w:tcPr>
          <w:p>
            <w:pPr>
              <w:tabs>
                <w:tab w:val="left" w:pos="4678"/>
              </w:tabs>
              <w:spacing w:after="0" w:line="240" w:lineRule="auto"/>
              <w:rPr>
                <w:rFonts w:cs="Calibri"/>
                <w:b/>
                <w:bCs/>
                <w:color w:val="FF0000"/>
                <w:sz w:val="4"/>
                <w:szCs w:val="10"/>
              </w:rPr>
            </w:pPr>
          </w:p>
        </w:tc>
        <w:tc>
          <w:tcPr>
            <w:tcW w:w="4555" w:type="dxa"/>
            <w:gridSpan w:val="33"/>
            <w:tcBorders>
              <w:top w:val="single" w:color="1F497D" w:sz="4" w:space="0"/>
            </w:tcBorders>
          </w:tcPr>
          <w:p>
            <w:pPr>
              <w:tabs>
                <w:tab w:val="left" w:pos="4678"/>
              </w:tabs>
              <w:spacing w:after="0" w:line="240" w:lineRule="auto"/>
              <w:rPr>
                <w:rFonts w:cs="Calibri"/>
                <w:b/>
                <w:bCs/>
                <w:color w:val="FF0000"/>
                <w:sz w:val="4"/>
                <w:szCs w:val="10"/>
              </w:rPr>
            </w:pPr>
          </w:p>
        </w:tc>
        <w:tc>
          <w:tcPr>
            <w:tcW w:w="262" w:type="dxa"/>
            <w:gridSpan w:val="2"/>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After w:val="8"/>
          <w:wAfter w:w="823" w:type="dxa"/>
          <w:trHeight w:val="19"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5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27"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676" w:type="dxa"/>
            <w:gridSpan w:val="5"/>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84"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206"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37" w:type="dxa"/>
            <w:gridSpan w:val="7"/>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283" w:type="dxa"/>
          </w:tcPr>
          <w:p>
            <w:pPr>
              <w:tabs>
                <w:tab w:val="left" w:pos="4678"/>
              </w:tabs>
              <w:spacing w:after="0" w:line="240" w:lineRule="auto"/>
              <w:rPr>
                <w:rFonts w:cs="Calibri"/>
                <w:b/>
                <w:bCs/>
                <w:color w:val="FF0000"/>
                <w:sz w:val="2"/>
                <w:szCs w:val="2"/>
              </w:rPr>
            </w:pPr>
            <w:r>
              <w:rPr>
                <w:rFonts w:cs="Calibri"/>
                <w:b/>
                <w:bCs/>
                <w:color w:val="FF0000"/>
                <w:sz w:val="2"/>
                <w:szCs w:val="2"/>
              </w:rPr>
              <w:t> </w:t>
            </w:r>
          </w:p>
        </w:tc>
        <w:tc>
          <w:tcPr>
            <w:tcW w:w="960" w:type="dxa"/>
            <w:gridSpan w:val="6"/>
            <w:tcBorders>
              <w:bottom w:val="single" w:color="1F497D" w:sz="4" w:space="0"/>
            </w:tcBorders>
          </w:tcPr>
          <w:p>
            <w:pPr>
              <w:tabs>
                <w:tab w:val="left" w:pos="4678"/>
              </w:tabs>
              <w:spacing w:after="0" w:line="240" w:lineRule="auto"/>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Learning &amp; Growth</w:t>
            </w:r>
          </w:p>
        </w:tc>
        <w:tc>
          <w:tcPr>
            <w:tcW w:w="272" w:type="dxa"/>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Finansial</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4555" w:type="dxa"/>
            <w:gridSpan w:val="33"/>
            <w:tcBorders>
              <w:bottom w:val="single" w:color="1F497D" w:sz="4" w:space="0"/>
            </w:tcBorders>
          </w:tcPr>
          <w:p>
            <w:pPr>
              <w:tabs>
                <w:tab w:val="left" w:pos="4678"/>
              </w:tabs>
              <w:spacing w:after="0" w:line="240" w:lineRule="auto"/>
              <w:jc w:val="both"/>
              <w:rPr>
                <w:rFonts w:cs="Calibri"/>
                <w:i/>
                <w:iCs/>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pemberdayaan SDM Unggul</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kemandirian finansial</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3"/>
                <w:szCs w:val="3"/>
              </w:rPr>
            </w:pPr>
          </w:p>
        </w:tc>
        <w:tc>
          <w:tcPr>
            <w:tcW w:w="283" w:type="dxa"/>
            <w:gridSpan w:val="2"/>
          </w:tcPr>
          <w:p>
            <w:pPr>
              <w:tabs>
                <w:tab w:val="left" w:pos="4678"/>
              </w:tabs>
              <w:spacing w:after="0" w:line="240" w:lineRule="auto"/>
              <w:jc w:val="center"/>
              <w:rPr>
                <w:rFonts w:cs="Calibri"/>
                <w:b/>
                <w:bCs/>
                <w:color w:val="000000"/>
                <w:sz w:val="2"/>
                <w:szCs w:val="2"/>
              </w:rPr>
            </w:pPr>
          </w:p>
        </w:tc>
        <w:tc>
          <w:tcPr>
            <w:tcW w:w="4750" w:type="dxa"/>
            <w:gridSpan w:val="2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2" w:type="dxa"/>
            <w:tcBorders>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color w:val="000000"/>
                <w:sz w:val="3"/>
                <w:szCs w:val="3"/>
              </w:rPr>
            </w:pPr>
          </w:p>
        </w:tc>
        <w:tc>
          <w:tcPr>
            <w:tcW w:w="283" w:type="dxa"/>
          </w:tcPr>
          <w:p>
            <w:pPr>
              <w:tabs>
                <w:tab w:val="left" w:pos="4678"/>
              </w:tabs>
              <w:spacing w:after="0" w:line="240" w:lineRule="auto"/>
              <w:jc w:val="center"/>
              <w:rPr>
                <w:rFonts w:cs="Calibri"/>
                <w:b/>
                <w:bCs/>
                <w:color w:val="000000"/>
                <w:sz w:val="2"/>
                <w:szCs w:val="2"/>
              </w:rPr>
            </w:pPr>
          </w:p>
        </w:tc>
        <w:tc>
          <w:tcPr>
            <w:tcW w:w="4555" w:type="dxa"/>
            <w:gridSpan w:val="33"/>
            <w:tcBorders>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Persentase kasus ditangani dokter penanggungjawab pelayanan (DPJP)</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POBO (Rasio Pendapatan PNBP terhadap Biaya Operasional )</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743" w:type="dxa"/>
            <w:gridSpan w:val="4"/>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847" w:type="dxa"/>
            <w:gridSpan w:val="6"/>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867" w:type="dxa"/>
            <w:gridSpan w:val="8"/>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1138" w:type="dxa"/>
            <w:gridSpan w:val="9"/>
            <w:tcBorders>
              <w:top w:val="single" w:color="1F497D" w:sz="4" w:space="0"/>
              <w:bottom w:val="single" w:color="1F497D" w:sz="4" w:space="0"/>
            </w:tcBorders>
          </w:tcPr>
          <w:p>
            <w:pPr>
              <w:tabs>
                <w:tab w:val="left" w:pos="4678"/>
              </w:tabs>
              <w:spacing w:after="0" w:line="240" w:lineRule="auto"/>
              <w:jc w:val="both"/>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Pasien rawat inap yang ditangani oleh Dokter Penanggung jawab pelayanan (DPJP) sejak pasien masuk rawat inap sampai pulang dengan melaksanakan:</w:t>
            </w:r>
          </w:p>
          <w:p>
            <w:pPr>
              <w:pStyle w:val="28"/>
              <w:numPr>
                <w:ilvl w:val="6"/>
                <w:numId w:val="50"/>
              </w:numPr>
              <w:tabs>
                <w:tab w:val="left" w:pos="4678"/>
              </w:tabs>
              <w:spacing w:after="0" w:line="240" w:lineRule="auto"/>
              <w:ind w:left="361"/>
              <w:jc w:val="both"/>
              <w:rPr>
                <w:rFonts w:cs="Calibri"/>
                <w:color w:val="000000"/>
                <w:sz w:val="20"/>
                <w:szCs w:val="20"/>
                <w:lang w:val="sv-SE"/>
              </w:rPr>
            </w:pPr>
            <w:r>
              <w:rPr>
                <w:rFonts w:cs="Calibri"/>
                <w:color w:val="000000"/>
                <w:sz w:val="20"/>
                <w:szCs w:val="20"/>
                <w:lang w:val="sv-SE"/>
              </w:rPr>
              <w:t>Pengkajian awal medis</w:t>
            </w:r>
          </w:p>
          <w:p>
            <w:pPr>
              <w:pStyle w:val="28"/>
              <w:numPr>
                <w:ilvl w:val="6"/>
                <w:numId w:val="50"/>
              </w:numPr>
              <w:tabs>
                <w:tab w:val="left" w:pos="4678"/>
              </w:tabs>
              <w:spacing w:after="0" w:line="240" w:lineRule="auto"/>
              <w:ind w:left="361"/>
              <w:jc w:val="both"/>
              <w:rPr>
                <w:rFonts w:cs="Calibri"/>
                <w:color w:val="000000"/>
                <w:sz w:val="20"/>
                <w:szCs w:val="20"/>
                <w:lang w:val="sv-SE"/>
              </w:rPr>
            </w:pPr>
            <w:r>
              <w:rPr>
                <w:rFonts w:cs="Calibri"/>
                <w:color w:val="000000"/>
                <w:sz w:val="20"/>
                <w:szCs w:val="20"/>
                <w:lang w:val="sv-SE"/>
              </w:rPr>
              <w:t>Resume medis pasien pulang</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Pendapatan PNBP merupakan pendapatan yang diperoleh sebagai imbalan atas barang/jasa yang diserahkan kepada masyarakat yang telah diverifikasi oleh pihak penjamin termasuk pendapatan yang berasal dari hibah, hasil kerjasama dengan pihak lain, sewa, jasa lembaga keuangan, dan lain-lain pendapatan yang tidak berhubungan secara langsung dengan pelayanan BLU, tidak termasuk pendapatan yang berasal dari APBN.</w:t>
            </w:r>
          </w:p>
          <w:p>
            <w:pPr>
              <w:tabs>
                <w:tab w:val="left" w:pos="4678"/>
              </w:tabs>
              <w:spacing w:after="0" w:line="240" w:lineRule="auto"/>
              <w:jc w:val="both"/>
              <w:rPr>
                <w:rFonts w:cs="Calibri"/>
                <w:color w:val="000000"/>
                <w:sz w:val="20"/>
                <w:szCs w:val="20"/>
                <w:lang w:val="sv-SE"/>
              </w:rPr>
            </w:pPr>
            <w:r>
              <w:rPr>
                <w:rFonts w:cs="Arial"/>
                <w:sz w:val="20"/>
                <w:szCs w:val="20"/>
              </w:rPr>
              <w:t>Biaya Operasional merupakan seluruh biaya yang dibutuhkan dalam memberikan pelayanan kepada masyarakat, yang terdiri dari biaya pegawai dan biaya barang, dan sumber dananya berasal dari penerimaan anggaran APBN dan pendapatan PNBP Satker BLU</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jc w:val="both"/>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jc w:val="both"/>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rasio antara total DPJP yang  menjalankan fungsinya dengan seluruh DPJP di seluruh RSUP Dr. Hasan Sadikin</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lang w:val="id-ID"/>
              </w:rPr>
              <w:t>(</w:t>
            </w:r>
            <w:r>
              <w:rPr>
                <w:rFonts w:cs="Arial"/>
                <w:sz w:val="20"/>
                <w:szCs w:val="20"/>
              </w:rPr>
              <w:t>Pendapatan PNBP dibagi Biaya Operasional) x 100%</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jc w:val="both"/>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jc w:val="both"/>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jc w:val="both"/>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jc w:val="both"/>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30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SDM dan Pendidikan</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Keuangan RSHS</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9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
                <w:szCs w:val="2"/>
              </w:rPr>
            </w:pPr>
          </w:p>
        </w:tc>
        <w:tc>
          <w:tcPr>
            <w:tcW w:w="283" w:type="dxa"/>
            <w:gridSpan w:val="2"/>
          </w:tcPr>
          <w:p>
            <w:pPr>
              <w:tabs>
                <w:tab w:val="left" w:pos="4678"/>
              </w:tabs>
              <w:spacing w:after="0" w:line="240" w:lineRule="auto"/>
              <w:jc w:val="center"/>
              <w:rPr>
                <w:rFonts w:cs="Calibri"/>
                <w:b/>
                <w:bCs/>
                <w:color w:val="000000"/>
                <w:sz w:val="2"/>
                <w:szCs w:val="2"/>
              </w:rPr>
            </w:pPr>
          </w:p>
        </w:tc>
        <w:tc>
          <w:tcPr>
            <w:tcW w:w="4750" w:type="dxa"/>
            <w:gridSpan w:val="25"/>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2" w:type="dxa"/>
            <w:tcBorders>
              <w:left w:val="nil"/>
              <w:right w:val="single" w:color="1F497D" w:sz="4" w:space="0"/>
            </w:tcBorders>
          </w:tcPr>
          <w:p>
            <w:pPr>
              <w:tabs>
                <w:tab w:val="left" w:pos="4678"/>
              </w:tabs>
              <w:spacing w:after="0" w:line="240" w:lineRule="auto"/>
              <w:rPr>
                <w:rFonts w:cs="Calibri"/>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color w:val="000000"/>
                <w:sz w:val="2"/>
                <w:szCs w:val="2"/>
              </w:rPr>
            </w:pPr>
          </w:p>
        </w:tc>
        <w:tc>
          <w:tcPr>
            <w:tcW w:w="283" w:type="dxa"/>
          </w:tcPr>
          <w:p>
            <w:pPr>
              <w:tabs>
                <w:tab w:val="left" w:pos="4678"/>
              </w:tabs>
              <w:spacing w:after="0" w:line="240" w:lineRule="auto"/>
              <w:jc w:val="center"/>
              <w:rPr>
                <w:rFonts w:cs="Calibri"/>
                <w:b/>
                <w:bCs/>
                <w:color w:val="000000"/>
                <w:sz w:val="2"/>
                <w:szCs w:val="2"/>
              </w:rPr>
            </w:pPr>
          </w:p>
        </w:tc>
        <w:tc>
          <w:tcPr>
            <w:tcW w:w="4555" w:type="dxa"/>
            <w:gridSpan w:val="3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62" w:type="dxa"/>
            <w:gridSpan w:val="2"/>
            <w:tcBorders>
              <w:left w:val="nil"/>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color w:val="000000"/>
                <w:sz w:val="20"/>
                <w:szCs w:val="20"/>
              </w:rPr>
            </w:pPr>
            <w:r>
              <w:rPr>
                <w:rFonts w:cs="Arial"/>
                <w:sz w:val="20"/>
                <w:szCs w:val="20"/>
              </w:rPr>
              <w:t>Rekam medik</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color w:val="000000"/>
                <w:sz w:val="20"/>
                <w:szCs w:val="20"/>
              </w:rPr>
            </w:pPr>
            <w:r>
              <w:rPr>
                <w:rFonts w:cs="Arial"/>
                <w:sz w:val="20"/>
                <w:szCs w:val="20"/>
              </w:rPr>
              <w:t>Laporan Keuangan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837" w:type="dxa"/>
            <w:gridSpan w:val="7"/>
          </w:tcPr>
          <w:p>
            <w:pPr>
              <w:tabs>
                <w:tab w:val="left" w:pos="4678"/>
              </w:tabs>
              <w:spacing w:after="0" w:line="240" w:lineRule="auto"/>
              <w:jc w:val="both"/>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jc w:val="both"/>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jc w:val="both"/>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jc w:val="both"/>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jc w:val="both"/>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186"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750" w:type="dxa"/>
            <w:gridSpan w:val="25"/>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Bulanan</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83" w:type="dxa"/>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4555" w:type="dxa"/>
            <w:gridSpan w:val="33"/>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2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1837" w:type="dxa"/>
            <w:gridSpan w:val="7"/>
          </w:tcPr>
          <w:p>
            <w:pPr>
              <w:tabs>
                <w:tab w:val="left" w:pos="4678"/>
              </w:tabs>
              <w:spacing w:after="0" w:line="240" w:lineRule="auto"/>
              <w:rPr>
                <w:rFonts w:ascii="Times New Roman" w:hAnsi="Times New Roman"/>
                <w:color w:val="00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auto" w:sz="4" w:space="0"/>
            </w:tcBorders>
          </w:tcPr>
          <w:p>
            <w:pPr>
              <w:tabs>
                <w:tab w:val="left" w:pos="4678"/>
              </w:tabs>
              <w:spacing w:after="0" w:line="240" w:lineRule="auto"/>
              <w:rPr>
                <w:rFonts w:cs="Calibri"/>
                <w:color w:val="FF0000"/>
                <w:sz w:val="2"/>
                <w:szCs w:val="2"/>
              </w:rPr>
            </w:pPr>
          </w:p>
        </w:tc>
        <w:tc>
          <w:tcPr>
            <w:tcW w:w="743" w:type="dxa"/>
            <w:gridSpan w:val="4"/>
            <w:tcBorders>
              <w:bottom w:val="single" w:color="auto" w:sz="4" w:space="0"/>
            </w:tcBorders>
          </w:tcPr>
          <w:p>
            <w:pPr>
              <w:tabs>
                <w:tab w:val="left" w:pos="4678"/>
              </w:tabs>
              <w:spacing w:after="0" w:line="240" w:lineRule="auto"/>
              <w:rPr>
                <w:rFonts w:cs="Calibri"/>
                <w:color w:val="FF0000"/>
                <w:sz w:val="2"/>
                <w:szCs w:val="2"/>
              </w:rPr>
            </w:pPr>
          </w:p>
        </w:tc>
        <w:tc>
          <w:tcPr>
            <w:tcW w:w="847" w:type="dxa"/>
            <w:gridSpan w:val="6"/>
            <w:tcBorders>
              <w:bottom w:val="single" w:color="auto" w:sz="4" w:space="0"/>
            </w:tcBorders>
          </w:tcPr>
          <w:p>
            <w:pPr>
              <w:tabs>
                <w:tab w:val="left" w:pos="4678"/>
              </w:tabs>
              <w:spacing w:after="0" w:line="240" w:lineRule="auto"/>
              <w:rPr>
                <w:rFonts w:cs="Calibri"/>
                <w:color w:val="FF0000"/>
                <w:sz w:val="2"/>
                <w:szCs w:val="2"/>
              </w:rPr>
            </w:pPr>
          </w:p>
        </w:tc>
        <w:tc>
          <w:tcPr>
            <w:tcW w:w="867" w:type="dxa"/>
            <w:gridSpan w:val="8"/>
            <w:tcBorders>
              <w:bottom w:val="single" w:color="auto" w:sz="4" w:space="0"/>
            </w:tcBorders>
          </w:tcPr>
          <w:p>
            <w:pPr>
              <w:tabs>
                <w:tab w:val="left" w:pos="4678"/>
              </w:tabs>
              <w:spacing w:after="0" w:line="240" w:lineRule="auto"/>
              <w:rPr>
                <w:rFonts w:cs="Calibri"/>
                <w:color w:val="FF0000"/>
                <w:sz w:val="2"/>
                <w:szCs w:val="2"/>
              </w:rPr>
            </w:pPr>
          </w:p>
        </w:tc>
        <w:tc>
          <w:tcPr>
            <w:tcW w:w="1138" w:type="dxa"/>
            <w:gridSpan w:val="9"/>
            <w:tcBorders>
              <w:bottom w:val="single" w:color="auto" w:sz="4" w:space="0"/>
            </w:tcBorders>
          </w:tcPr>
          <w:p>
            <w:pPr>
              <w:tabs>
                <w:tab w:val="left" w:pos="4678"/>
              </w:tabs>
              <w:spacing w:after="0" w:line="240" w:lineRule="auto"/>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After w:val="8"/>
          <w:wAfter w:w="823" w:type="dxa"/>
          <w:trHeight w:val="213"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gridSpan w:val="2"/>
            <w:tcBorders>
              <w:right w:val="single" w:color="auto" w:sz="4" w:space="0"/>
            </w:tcBorders>
          </w:tcPr>
          <w:p>
            <w:pPr>
              <w:tabs>
                <w:tab w:val="left" w:pos="4678"/>
              </w:tabs>
              <w:spacing w:after="0" w:line="240" w:lineRule="auto"/>
              <w:jc w:val="center"/>
              <w:rPr>
                <w:rFonts w:ascii="Times New Roman" w:hAnsi="Times New Roman"/>
                <w:color w:val="000000"/>
                <w:sz w:val="20"/>
                <w:szCs w:val="20"/>
                <w:lang w:val="id-ID"/>
              </w:rPr>
            </w:pPr>
            <w:r>
              <w:rPr>
                <w:rFonts w:ascii="Times New Roman" w:hAnsi="Times New Roman"/>
                <w:color w:val="000000"/>
                <w:sz w:val="20"/>
                <w:szCs w:val="20"/>
                <w:lang w:val="id-ID"/>
              </w:rPr>
              <w:t>:</w:t>
            </w:r>
          </w:p>
        </w:tc>
        <w:tc>
          <w:tcPr>
            <w:tcW w:w="4750" w:type="dxa"/>
            <w:gridSpan w:val="25"/>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ascii="Times New Roman" w:hAnsi="Times New Roman"/>
                <w:color w:val="000000"/>
                <w:sz w:val="20"/>
                <w:szCs w:val="20"/>
                <w:lang w:val="id-ID"/>
              </w:rPr>
            </w:pPr>
            <w:r>
              <w:rPr>
                <w:rFonts w:ascii="Times New Roman" w:hAnsi="Times New Roman"/>
                <w:color w:val="000000"/>
                <w:sz w:val="20"/>
                <w:szCs w:val="20"/>
                <w:lang w:val="id-ID"/>
              </w:rPr>
              <w:t>30</w:t>
            </w:r>
          </w:p>
        </w:tc>
        <w:tc>
          <w:tcPr>
            <w:tcW w:w="272" w:type="dxa"/>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837" w:type="dxa"/>
            <w:gridSpan w:val="7"/>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83" w:type="dxa"/>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4555" w:type="dxa"/>
            <w:gridSpan w:val="33"/>
            <w:tcBorders>
              <w:top w:val="single" w:color="auto" w:sz="4" w:space="0"/>
              <w:left w:val="single" w:color="auto" w:sz="4" w:space="0"/>
              <w:bottom w:val="single" w:color="auto" w:sz="4" w:space="0"/>
              <w:right w:val="single" w:color="auto" w:sz="4" w:space="0"/>
            </w:tcBorders>
          </w:tcPr>
          <w:p>
            <w:pPr>
              <w:tabs>
                <w:tab w:val="left" w:pos="4678"/>
              </w:tabs>
              <w:spacing w:after="0" w:line="240" w:lineRule="auto"/>
              <w:rPr>
                <w:rFonts w:ascii="Times New Roman" w:hAnsi="Times New Roman"/>
                <w:color w:val="000000"/>
                <w:szCs w:val="24"/>
              </w:rPr>
            </w:pPr>
          </w:p>
        </w:tc>
        <w:tc>
          <w:tcPr>
            <w:tcW w:w="262" w:type="dxa"/>
            <w:gridSpan w:val="2"/>
            <w:tcBorders>
              <w:left w:val="single" w:color="auto" w:sz="4" w:space="0"/>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8"/>
          <w:wAfter w:w="823" w:type="dxa"/>
          <w:trHeight w:val="37"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24" w:type="dxa"/>
            <w:gridSpan w:val="2"/>
          </w:tcPr>
          <w:p>
            <w:pPr>
              <w:tabs>
                <w:tab w:val="left" w:pos="4678"/>
              </w:tabs>
              <w:spacing w:after="0" w:line="240" w:lineRule="auto"/>
              <w:rPr>
                <w:rFonts w:ascii="Times New Roman" w:hAnsi="Times New Roman"/>
                <w:color w:val="000000"/>
                <w:sz w:val="2"/>
                <w:szCs w:val="2"/>
              </w:rPr>
            </w:pPr>
          </w:p>
        </w:tc>
        <w:tc>
          <w:tcPr>
            <w:tcW w:w="283" w:type="dxa"/>
            <w:gridSpan w:val="2"/>
          </w:tcPr>
          <w:p>
            <w:pPr>
              <w:tabs>
                <w:tab w:val="left" w:pos="4678"/>
              </w:tabs>
              <w:spacing w:after="0" w:line="240" w:lineRule="auto"/>
              <w:jc w:val="center"/>
              <w:rPr>
                <w:rFonts w:ascii="Times New Roman" w:hAnsi="Times New Roman"/>
                <w:color w:val="000000"/>
                <w:sz w:val="2"/>
                <w:szCs w:val="2"/>
              </w:rPr>
            </w:pPr>
          </w:p>
        </w:tc>
        <w:tc>
          <w:tcPr>
            <w:tcW w:w="125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27"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676" w:type="dxa"/>
            <w:gridSpan w:val="5"/>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84"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20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72" w:type="dxa"/>
            <w:tcBorders>
              <w:right w:val="single" w:color="1F497D" w:sz="4" w:space="0"/>
            </w:tcBorders>
          </w:tcPr>
          <w:p>
            <w:pPr>
              <w:tabs>
                <w:tab w:val="left" w:pos="4678"/>
              </w:tabs>
              <w:spacing w:after="0" w:line="240" w:lineRule="auto"/>
              <w:jc w:val="center"/>
              <w:rPr>
                <w:rFonts w:ascii="Times New Roman" w:hAnsi="Times New Roman"/>
                <w:color w:val="000000"/>
                <w:sz w:val="2"/>
                <w:szCs w:val="2"/>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268" w:type="dxa"/>
            <w:gridSpan w:val="3"/>
            <w:tcBorders>
              <w:left w:val="single" w:color="1F497D" w:sz="4" w:space="0"/>
            </w:tcBorders>
          </w:tcPr>
          <w:p>
            <w:pPr>
              <w:tabs>
                <w:tab w:val="left" w:pos="4678"/>
              </w:tabs>
              <w:spacing w:after="0" w:line="240" w:lineRule="auto"/>
              <w:rPr>
                <w:rFonts w:cs="Calibri"/>
                <w:color w:val="000000"/>
                <w:sz w:val="2"/>
                <w:szCs w:val="2"/>
              </w:rPr>
            </w:pPr>
          </w:p>
        </w:tc>
        <w:tc>
          <w:tcPr>
            <w:tcW w:w="1837" w:type="dxa"/>
            <w:gridSpan w:val="7"/>
          </w:tcPr>
          <w:p>
            <w:pPr>
              <w:tabs>
                <w:tab w:val="left" w:pos="4678"/>
              </w:tabs>
              <w:spacing w:after="0" w:line="240" w:lineRule="auto"/>
              <w:rPr>
                <w:rFonts w:cs="Calibri"/>
                <w:b/>
                <w:bCs/>
                <w:color w:val="FF0000"/>
                <w:sz w:val="2"/>
                <w:szCs w:val="2"/>
              </w:rPr>
            </w:pPr>
          </w:p>
        </w:tc>
        <w:tc>
          <w:tcPr>
            <w:tcW w:w="283" w:type="dxa"/>
          </w:tcPr>
          <w:p>
            <w:pPr>
              <w:tabs>
                <w:tab w:val="left" w:pos="4678"/>
              </w:tabs>
              <w:spacing w:after="0" w:line="240" w:lineRule="auto"/>
              <w:jc w:val="center"/>
              <w:rPr>
                <w:rFonts w:cs="Calibri"/>
                <w:b/>
                <w:bCs/>
                <w:color w:val="FF0000"/>
                <w:sz w:val="2"/>
                <w:szCs w:val="2"/>
              </w:rPr>
            </w:pPr>
          </w:p>
        </w:tc>
        <w:tc>
          <w:tcPr>
            <w:tcW w:w="960" w:type="dxa"/>
            <w:gridSpan w:val="6"/>
            <w:tcBorders>
              <w:bottom w:val="single" w:color="1F497D" w:sz="4" w:space="0"/>
            </w:tcBorders>
          </w:tcPr>
          <w:p>
            <w:pPr>
              <w:tabs>
                <w:tab w:val="left" w:pos="4678"/>
              </w:tabs>
              <w:spacing w:after="0" w:line="240" w:lineRule="auto"/>
              <w:rPr>
                <w:rFonts w:cs="Calibri"/>
                <w:color w:val="FF0000"/>
                <w:sz w:val="2"/>
                <w:szCs w:val="2"/>
              </w:rPr>
            </w:pPr>
          </w:p>
        </w:tc>
        <w:tc>
          <w:tcPr>
            <w:tcW w:w="743" w:type="dxa"/>
            <w:gridSpan w:val="4"/>
            <w:tcBorders>
              <w:bottom w:val="single" w:color="1F497D" w:sz="4" w:space="0"/>
            </w:tcBorders>
          </w:tcPr>
          <w:p>
            <w:pPr>
              <w:tabs>
                <w:tab w:val="left" w:pos="4678"/>
              </w:tabs>
              <w:spacing w:after="0" w:line="240" w:lineRule="auto"/>
              <w:rPr>
                <w:rFonts w:cs="Calibri"/>
                <w:color w:val="FF0000"/>
                <w:sz w:val="2"/>
                <w:szCs w:val="2"/>
              </w:rPr>
            </w:pPr>
          </w:p>
        </w:tc>
        <w:tc>
          <w:tcPr>
            <w:tcW w:w="847" w:type="dxa"/>
            <w:gridSpan w:val="6"/>
            <w:tcBorders>
              <w:bottom w:val="single" w:color="1F497D" w:sz="4" w:space="0"/>
            </w:tcBorders>
          </w:tcPr>
          <w:p>
            <w:pPr>
              <w:tabs>
                <w:tab w:val="left" w:pos="4678"/>
              </w:tabs>
              <w:spacing w:after="0" w:line="240" w:lineRule="auto"/>
              <w:rPr>
                <w:rFonts w:cs="Calibri"/>
                <w:color w:val="FF0000"/>
                <w:sz w:val="2"/>
                <w:szCs w:val="2"/>
              </w:rPr>
            </w:pPr>
          </w:p>
        </w:tc>
        <w:tc>
          <w:tcPr>
            <w:tcW w:w="867" w:type="dxa"/>
            <w:gridSpan w:val="8"/>
            <w:tcBorders>
              <w:bottom w:val="single" w:color="1F497D" w:sz="4" w:space="0"/>
            </w:tcBorders>
          </w:tcPr>
          <w:p>
            <w:pPr>
              <w:tabs>
                <w:tab w:val="left" w:pos="4678"/>
              </w:tabs>
              <w:spacing w:after="0" w:line="240" w:lineRule="auto"/>
              <w:rPr>
                <w:rFonts w:cs="Calibri"/>
                <w:color w:val="FF0000"/>
                <w:sz w:val="2"/>
                <w:szCs w:val="2"/>
              </w:rPr>
            </w:pPr>
          </w:p>
        </w:tc>
        <w:tc>
          <w:tcPr>
            <w:tcW w:w="1138" w:type="dxa"/>
            <w:gridSpan w:val="9"/>
            <w:tcBorders>
              <w:bottom w:val="single" w:color="1F497D" w:sz="4" w:space="0"/>
            </w:tcBorders>
          </w:tcPr>
          <w:p>
            <w:pPr>
              <w:tabs>
                <w:tab w:val="left" w:pos="4678"/>
              </w:tabs>
              <w:spacing w:after="0" w:line="240" w:lineRule="auto"/>
              <w:rPr>
                <w:rFonts w:cs="Calibri"/>
                <w:color w:val="FF0000"/>
                <w:sz w:val="2"/>
                <w:szCs w:val="2"/>
              </w:rPr>
            </w:pPr>
          </w:p>
        </w:tc>
        <w:tc>
          <w:tcPr>
            <w:tcW w:w="262" w:type="dxa"/>
            <w:gridSpan w:val="2"/>
            <w:tcBorders>
              <w:right w:val="single" w:color="1F497D" w:sz="4" w:space="0"/>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1025"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850"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891" w:type="dxa"/>
            <w:gridSpan w:val="5"/>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72" w:type="dxa"/>
            <w:tcBorders>
              <w:left w:val="single" w:color="1F497D" w:sz="4" w:space="0"/>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FF0000"/>
                <w:sz w:val="20"/>
                <w:szCs w:val="20"/>
              </w:rPr>
            </w:pPr>
          </w:p>
        </w:tc>
        <w:tc>
          <w:tcPr>
            <w:tcW w:w="283" w:type="dxa"/>
            <w:tcBorders>
              <w:right w:val="single" w:color="1F497D" w:sz="4" w:space="0"/>
            </w:tcBorders>
          </w:tcPr>
          <w:p>
            <w:pPr>
              <w:tabs>
                <w:tab w:val="left" w:pos="4678"/>
              </w:tabs>
              <w:spacing w:after="0" w:line="240" w:lineRule="auto"/>
              <w:jc w:val="center"/>
              <w:rPr>
                <w:rFonts w:cs="Calibri"/>
                <w:b/>
                <w:bCs/>
                <w:color w:val="FF0000"/>
                <w:sz w:val="20"/>
                <w:szCs w:val="20"/>
              </w:rPr>
            </w:pPr>
          </w:p>
        </w:tc>
        <w:tc>
          <w:tcPr>
            <w:tcW w:w="869"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92"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993"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992" w:type="dxa"/>
            <w:gridSpan w:val="8"/>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709" w:type="dxa"/>
            <w:gridSpan w:val="5"/>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24"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1025"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850"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891"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100</w:t>
            </w: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37" w:type="dxa"/>
            <w:gridSpan w:val="7"/>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283" w:type="dxa"/>
            <w:tcBorders>
              <w:right w:val="single" w:color="1F497D" w:sz="4" w:space="0"/>
            </w:tcBorders>
          </w:tcPr>
          <w:p>
            <w:pPr>
              <w:tabs>
                <w:tab w:val="left" w:pos="4678"/>
              </w:tabs>
              <w:spacing w:after="0" w:line="240" w:lineRule="auto"/>
              <w:rPr>
                <w:rFonts w:cs="Calibri"/>
                <w:b/>
                <w:bCs/>
                <w:color w:val="FF0000"/>
                <w:sz w:val="20"/>
                <w:szCs w:val="20"/>
              </w:rPr>
            </w:pPr>
            <w:r>
              <w:rPr>
                <w:rFonts w:cs="Calibri"/>
                <w:b/>
                <w:bCs/>
                <w:color w:val="FF0000"/>
                <w:sz w:val="20"/>
                <w:szCs w:val="20"/>
              </w:rPr>
              <w:t> </w:t>
            </w:r>
          </w:p>
        </w:tc>
        <w:tc>
          <w:tcPr>
            <w:tcW w:w="869"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81</w:t>
            </w:r>
          </w:p>
        </w:tc>
        <w:tc>
          <w:tcPr>
            <w:tcW w:w="992"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82</w:t>
            </w:r>
          </w:p>
        </w:tc>
        <w:tc>
          <w:tcPr>
            <w:tcW w:w="993"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75</w:t>
            </w:r>
          </w:p>
        </w:tc>
        <w:tc>
          <w:tcPr>
            <w:tcW w:w="992"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75</w:t>
            </w:r>
          </w:p>
        </w:tc>
        <w:tc>
          <w:tcPr>
            <w:tcW w:w="709"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rPr>
              <w:t>77</w:t>
            </w: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24" w:type="dxa"/>
            <w:gridSpan w:val="2"/>
          </w:tcPr>
          <w:p>
            <w:pPr>
              <w:tabs>
                <w:tab w:val="left" w:pos="4678"/>
              </w:tabs>
              <w:spacing w:after="0" w:line="240" w:lineRule="auto"/>
              <w:rPr>
                <w:rFonts w:cs="Calibri"/>
                <w:b/>
                <w:bCs/>
                <w:color w:val="000000"/>
                <w:sz w:val="20"/>
                <w:szCs w:val="20"/>
              </w:rPr>
            </w:pPr>
          </w:p>
        </w:tc>
        <w:tc>
          <w:tcPr>
            <w:tcW w:w="283"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166" w:type="dxa"/>
            <w:gridSpan w:val="2"/>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818" w:type="dxa"/>
            <w:gridSpan w:val="4"/>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1025"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850"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891"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272" w:type="dxa"/>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00"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268" w:type="dxa"/>
            <w:gridSpan w:val="3"/>
            <w:tcBorders>
              <w:left w:val="single" w:color="1F497D" w:sz="4" w:space="0"/>
            </w:tcBorders>
          </w:tcPr>
          <w:p>
            <w:pPr>
              <w:tabs>
                <w:tab w:val="left" w:pos="4678"/>
              </w:tabs>
              <w:spacing w:after="0" w:line="240" w:lineRule="auto"/>
              <w:rPr>
                <w:rFonts w:cs="Calibri"/>
                <w:color w:val="000000"/>
                <w:sz w:val="20"/>
                <w:szCs w:val="20"/>
              </w:rPr>
            </w:pPr>
          </w:p>
        </w:tc>
        <w:tc>
          <w:tcPr>
            <w:tcW w:w="1837" w:type="dxa"/>
            <w:gridSpan w:val="7"/>
          </w:tcPr>
          <w:p>
            <w:pPr>
              <w:tabs>
                <w:tab w:val="left" w:pos="4678"/>
              </w:tabs>
              <w:spacing w:after="0" w:line="240" w:lineRule="auto"/>
              <w:rPr>
                <w:rFonts w:cs="Calibri"/>
                <w:b/>
                <w:bCs/>
                <w:color w:val="FF0000"/>
                <w:sz w:val="20"/>
                <w:szCs w:val="20"/>
              </w:rPr>
            </w:pPr>
          </w:p>
        </w:tc>
        <w:tc>
          <w:tcPr>
            <w:tcW w:w="283" w:type="dxa"/>
            <w:tcBorders>
              <w:right w:val="single" w:color="1F497D" w:sz="4" w:space="0"/>
            </w:tcBorders>
          </w:tcPr>
          <w:p>
            <w:pPr>
              <w:tabs>
                <w:tab w:val="left" w:pos="4678"/>
              </w:tabs>
              <w:spacing w:after="0" w:line="240" w:lineRule="auto"/>
              <w:rPr>
                <w:rFonts w:cs="Calibri"/>
                <w:b/>
                <w:bCs/>
                <w:color w:val="FF0000"/>
                <w:sz w:val="20"/>
                <w:szCs w:val="20"/>
              </w:rPr>
            </w:pPr>
          </w:p>
        </w:tc>
        <w:tc>
          <w:tcPr>
            <w:tcW w:w="869"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992"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p>
        </w:tc>
        <w:tc>
          <w:tcPr>
            <w:tcW w:w="993"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p>
        </w:tc>
        <w:tc>
          <w:tcPr>
            <w:tcW w:w="992" w:type="dxa"/>
            <w:gridSpan w:val="8"/>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p>
        </w:tc>
        <w:tc>
          <w:tcPr>
            <w:tcW w:w="709"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p>
        </w:tc>
        <w:tc>
          <w:tcPr>
            <w:tcW w:w="262" w:type="dxa"/>
            <w:gridSpan w:val="2"/>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After w:val="8"/>
          <w:wAfter w:w="823" w:type="dxa"/>
          <w:trHeight w:val="20" w:hRule="atLeast"/>
          <w:jc w:val="center"/>
        </w:trPr>
        <w:tc>
          <w:tcPr>
            <w:tcW w:w="266"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6857" w:type="dxa"/>
            <w:gridSpan w:val="29"/>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72" w:type="dxa"/>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00" w:type="dxa"/>
            <w:gridSpan w:val="3"/>
            <w:tcBorders>
              <w:left w:val="single" w:color="1F497D" w:sz="4" w:space="0"/>
              <w:righ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68" w:type="dxa"/>
            <w:gridSpan w:val="3"/>
            <w:tcBorders>
              <w:left w:val="single" w:color="1F497D" w:sz="4" w:space="0"/>
              <w:bottom w:val="single" w:color="1F497D" w:sz="4" w:space="0"/>
            </w:tcBorders>
          </w:tcPr>
          <w:p>
            <w:pPr>
              <w:tabs>
                <w:tab w:val="left" w:pos="4678"/>
              </w:tabs>
              <w:spacing w:after="0" w:line="240" w:lineRule="auto"/>
              <w:rPr>
                <w:rFonts w:cs="Calibri"/>
                <w:color w:val="000000"/>
                <w:sz w:val="2"/>
                <w:szCs w:val="18"/>
              </w:rPr>
            </w:pPr>
          </w:p>
        </w:tc>
        <w:tc>
          <w:tcPr>
            <w:tcW w:w="6675" w:type="dxa"/>
            <w:gridSpan w:val="41"/>
            <w:tcBorders>
              <w:bottom w:val="single" w:color="1F497D" w:sz="4" w:space="0"/>
            </w:tcBorders>
          </w:tcPr>
          <w:p>
            <w:pPr>
              <w:tabs>
                <w:tab w:val="left" w:pos="4678"/>
              </w:tabs>
              <w:spacing w:after="0" w:line="240" w:lineRule="auto"/>
              <w:rPr>
                <w:rFonts w:cs="Calibri"/>
                <w:color w:val="000000"/>
                <w:sz w:val="2"/>
                <w:szCs w:val="18"/>
              </w:rPr>
            </w:pPr>
          </w:p>
        </w:tc>
        <w:tc>
          <w:tcPr>
            <w:tcW w:w="262" w:type="dxa"/>
            <w:gridSpan w:val="2"/>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r>
      <w:tr>
        <w:tblPrEx>
          <w:tblLayout w:type="fixed"/>
          <w:tblCellMar>
            <w:top w:w="0" w:type="dxa"/>
            <w:left w:w="108" w:type="dxa"/>
            <w:bottom w:w="0" w:type="dxa"/>
            <w:right w:w="108" w:type="dxa"/>
          </w:tblCellMar>
        </w:tblPrEx>
        <w:trPr>
          <w:gridAfter w:val="6"/>
          <w:wAfter w:w="745" w:type="dxa"/>
          <w:trHeight w:val="20" w:hRule="atLeast"/>
          <w:jc w:val="center"/>
        </w:trPr>
        <w:tc>
          <w:tcPr>
            <w:tcW w:w="7669" w:type="dxa"/>
            <w:gridSpan w:val="33"/>
            <w:tcBorders>
              <w:bottom w:val="single" w:color="1F497D" w:sz="4" w:space="0"/>
            </w:tcBorders>
            <w:shd w:val="clear" w:color="auto" w:fill="EBCC6E"/>
            <w:vAlign w:val="center"/>
          </w:tcPr>
          <w:p>
            <w:pPr>
              <w:pStyle w:val="40"/>
              <w:tabs>
                <w:tab w:val="left" w:pos="4678"/>
              </w:tabs>
              <w:spacing w:before="40"/>
              <w:rPr>
                <w:rFonts w:eastAsia="Times New Roman"/>
                <w:lang w:val="sv-SE"/>
              </w:rPr>
            </w:pPr>
            <w:r>
              <w:br w:type="page"/>
            </w:r>
            <w:r>
              <w:t xml:space="preserve">KPI-19. </w:t>
            </w:r>
            <w:r>
              <w:rPr>
                <w:rFonts w:cs="Arial"/>
                <w:color w:val="000000"/>
              </w:rPr>
              <w:t>Hasil Audit Keuangan</w:t>
            </w:r>
            <w:r>
              <w:rPr>
                <w:rFonts w:cs="Arial"/>
                <w:color w:val="000000"/>
              </w:rPr>
              <w:tab/>
            </w:r>
          </w:p>
        </w:tc>
        <w:tc>
          <w:tcPr>
            <w:tcW w:w="300" w:type="dxa"/>
            <w:gridSpan w:val="6"/>
          </w:tcPr>
          <w:p>
            <w:pPr>
              <w:tabs>
                <w:tab w:val="left" w:pos="4678"/>
              </w:tabs>
              <w:spacing w:before="40" w:after="0" w:line="240" w:lineRule="auto"/>
              <w:rPr>
                <w:rFonts w:cs="Calibri"/>
                <w:color w:val="000000"/>
                <w:sz w:val="20"/>
                <w:szCs w:val="20"/>
                <w:lang w:val="sv-SE"/>
              </w:rPr>
            </w:pPr>
            <w:r>
              <w:rPr>
                <w:rFonts w:cs="Calibri"/>
                <w:color w:val="000000"/>
                <w:sz w:val="20"/>
                <w:szCs w:val="20"/>
                <w:lang w:val="sv-SE"/>
              </w:rPr>
              <w:t> </w:t>
            </w:r>
          </w:p>
        </w:tc>
        <w:tc>
          <w:tcPr>
            <w:tcW w:w="7009" w:type="dxa"/>
            <w:gridSpan w:val="44"/>
            <w:shd w:val="clear" w:color="auto" w:fill="FFFFFF" w:themeFill="background1"/>
          </w:tcPr>
          <w:p>
            <w:pPr>
              <w:pStyle w:val="40"/>
              <w:tabs>
                <w:tab w:val="left" w:pos="4678"/>
              </w:tabs>
              <w:spacing w:before="40"/>
            </w:pP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top w:val="single" w:color="1F497D" w:sz="4" w:space="0"/>
              <w:left w:val="single" w:color="1F497D" w:sz="4" w:space="0"/>
            </w:tcBorders>
          </w:tcPr>
          <w:p>
            <w:pPr>
              <w:tabs>
                <w:tab w:val="left" w:pos="4678"/>
              </w:tabs>
              <w:spacing w:after="0" w:line="240" w:lineRule="auto"/>
              <w:rPr>
                <w:rFonts w:cs="Calibri"/>
                <w:b/>
                <w:bCs/>
                <w:color w:val="000000"/>
                <w:sz w:val="4"/>
                <w:szCs w:val="10"/>
              </w:rPr>
            </w:pPr>
          </w:p>
        </w:tc>
        <w:tc>
          <w:tcPr>
            <w:tcW w:w="1890"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294" w:type="dxa"/>
            <w:gridSpan w:val="2"/>
            <w:tcBorders>
              <w:top w:val="single" w:color="1F497D" w:sz="4" w:space="0"/>
            </w:tcBorders>
          </w:tcPr>
          <w:p>
            <w:pPr>
              <w:tabs>
                <w:tab w:val="left" w:pos="4678"/>
              </w:tabs>
              <w:spacing w:after="0" w:line="240" w:lineRule="auto"/>
              <w:rPr>
                <w:rFonts w:cs="Calibri"/>
                <w:b/>
                <w:bCs/>
                <w:color w:val="000000"/>
                <w:sz w:val="4"/>
                <w:szCs w:val="10"/>
              </w:rPr>
            </w:pPr>
          </w:p>
        </w:tc>
        <w:tc>
          <w:tcPr>
            <w:tcW w:w="5213" w:type="dxa"/>
            <w:gridSpan w:val="27"/>
            <w:tcBorders>
              <w:top w:val="single" w:color="1F497D" w:sz="4" w:space="0"/>
            </w:tcBorders>
          </w:tcPr>
          <w:p>
            <w:pPr>
              <w:tabs>
                <w:tab w:val="left" w:pos="4678"/>
              </w:tabs>
              <w:spacing w:after="0" w:line="240" w:lineRule="auto"/>
              <w:rPr>
                <w:rFonts w:cs="Calibri"/>
                <w:b/>
                <w:bCs/>
                <w:color w:val="000000"/>
                <w:sz w:val="4"/>
                <w:szCs w:val="10"/>
              </w:rPr>
            </w:pPr>
          </w:p>
        </w:tc>
        <w:tc>
          <w:tcPr>
            <w:tcW w:w="271" w:type="dxa"/>
            <w:gridSpan w:val="3"/>
            <w:tcBorders>
              <w:top w:val="single" w:color="1F497D" w:sz="4" w:space="0"/>
              <w:right w:val="single" w:color="1F497D" w:sz="4" w:space="0"/>
            </w:tcBorders>
          </w:tcPr>
          <w:p>
            <w:pPr>
              <w:tabs>
                <w:tab w:val="left" w:pos="4678"/>
              </w:tabs>
              <w:spacing w:after="0" w:line="240" w:lineRule="auto"/>
              <w:rPr>
                <w:rFonts w:cs="Calibri"/>
                <w:b/>
                <w:bCs/>
                <w:color w:val="000000"/>
                <w:sz w:val="4"/>
                <w:szCs w:val="10"/>
              </w:rPr>
            </w:pPr>
          </w:p>
        </w:tc>
        <w:tc>
          <w:tcPr>
            <w:tcW w:w="311" w:type="dxa"/>
            <w:gridSpan w:val="4"/>
            <w:tcBorders>
              <w:left w:val="single" w:color="1F497D" w:sz="4" w:space="0"/>
            </w:tcBorders>
          </w:tcPr>
          <w:p>
            <w:pPr>
              <w:tabs>
                <w:tab w:val="left" w:pos="4678"/>
              </w:tabs>
              <w:spacing w:after="0" w:line="240" w:lineRule="auto"/>
              <w:rPr>
                <w:rFonts w:cs="Calibri"/>
                <w:color w:val="000000"/>
                <w:sz w:val="4"/>
                <w:szCs w:val="10"/>
              </w:rPr>
            </w:pPr>
          </w:p>
        </w:tc>
        <w:tc>
          <w:tcPr>
            <w:tcW w:w="278" w:type="dxa"/>
            <w:gridSpan w:val="2"/>
          </w:tcPr>
          <w:p>
            <w:pPr>
              <w:tabs>
                <w:tab w:val="left" w:pos="4678"/>
              </w:tabs>
              <w:spacing w:after="0" w:line="240" w:lineRule="auto"/>
              <w:rPr>
                <w:rFonts w:cs="Calibri"/>
                <w:b/>
                <w:bCs/>
                <w:color w:val="000000"/>
                <w:sz w:val="4"/>
                <w:szCs w:val="10"/>
              </w:rPr>
            </w:pPr>
          </w:p>
        </w:tc>
        <w:tc>
          <w:tcPr>
            <w:tcW w:w="1903" w:type="dxa"/>
            <w:gridSpan w:val="4"/>
          </w:tcPr>
          <w:p>
            <w:pPr>
              <w:tabs>
                <w:tab w:val="left" w:pos="4678"/>
              </w:tabs>
              <w:spacing w:after="0" w:line="240" w:lineRule="auto"/>
              <w:rPr>
                <w:rFonts w:cs="Calibri"/>
                <w:b/>
                <w:bCs/>
                <w:color w:val="000000"/>
                <w:sz w:val="4"/>
                <w:szCs w:val="10"/>
              </w:rPr>
            </w:pPr>
          </w:p>
        </w:tc>
        <w:tc>
          <w:tcPr>
            <w:tcW w:w="293" w:type="dxa"/>
            <w:gridSpan w:val="2"/>
          </w:tcPr>
          <w:p>
            <w:pPr>
              <w:tabs>
                <w:tab w:val="left" w:pos="4678"/>
              </w:tabs>
              <w:spacing w:after="0" w:line="240" w:lineRule="auto"/>
              <w:rPr>
                <w:rFonts w:cs="Calibri"/>
                <w:b/>
                <w:bCs/>
                <w:color w:val="000000"/>
                <w:sz w:val="4"/>
                <w:szCs w:val="10"/>
              </w:rPr>
            </w:pPr>
          </w:p>
        </w:tc>
        <w:tc>
          <w:tcPr>
            <w:tcW w:w="4716" w:type="dxa"/>
            <w:gridSpan w:val="37"/>
          </w:tcPr>
          <w:p>
            <w:pPr>
              <w:tabs>
                <w:tab w:val="left" w:pos="4678"/>
              </w:tabs>
              <w:spacing w:after="0" w:line="240" w:lineRule="auto"/>
              <w:rPr>
                <w:rFonts w:cs="Calibri"/>
                <w:b/>
                <w:bCs/>
                <w:color w:val="000000"/>
                <w:sz w:val="4"/>
                <w:szCs w:val="10"/>
              </w:rPr>
            </w:pPr>
          </w:p>
        </w:tc>
        <w:tc>
          <w:tcPr>
            <w:tcW w:w="271" w:type="dxa"/>
            <w:gridSpan w:val="3"/>
          </w:tcPr>
          <w:p>
            <w:pPr>
              <w:tabs>
                <w:tab w:val="left" w:pos="4678"/>
              </w:tabs>
              <w:spacing w:after="0" w:line="240" w:lineRule="auto"/>
              <w:rPr>
                <w:rFonts w:cs="Calibri"/>
                <w:b/>
                <w:bCs/>
                <w:color w:val="000000"/>
                <w:sz w:val="4"/>
                <w:szCs w:val="10"/>
              </w:rPr>
            </w:pPr>
          </w:p>
        </w:tc>
      </w:tr>
      <w:tr>
        <w:tblPrEx>
          <w:tblLayout w:type="fixed"/>
          <w:tblCellMar>
            <w:top w:w="0" w:type="dxa"/>
            <w:left w:w="108" w:type="dxa"/>
            <w:bottom w:w="0" w:type="dxa"/>
            <w:right w:w="108" w:type="dxa"/>
          </w:tblCellMar>
        </w:tblPrEx>
        <w:trPr>
          <w:gridBefore w:val="1"/>
          <w:wBefore w:w="5" w:type="dxa"/>
          <w:trHeight w:val="19"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302" w:type="dxa"/>
            <w:gridSpan w:val="3"/>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47" w:type="dxa"/>
            <w:gridSpan w:val="4"/>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786" w:type="dxa"/>
            <w:gridSpan w:val="6"/>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882"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1396" w:type="dxa"/>
            <w:gridSpan w:val="7"/>
            <w:tcBorders>
              <w:bottom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rPr>
                <w:rFonts w:cs="Calibri"/>
                <w:b/>
                <w:bCs/>
                <w:color w:val="000000"/>
                <w:sz w:val="2"/>
                <w:szCs w:val="2"/>
              </w:rPr>
            </w:pPr>
          </w:p>
        </w:tc>
        <w:tc>
          <w:tcPr>
            <w:tcW w:w="994" w:type="dxa"/>
            <w:gridSpan w:val="5"/>
          </w:tcPr>
          <w:p>
            <w:pPr>
              <w:tabs>
                <w:tab w:val="left" w:pos="4678"/>
              </w:tabs>
              <w:spacing w:after="0" w:line="240" w:lineRule="auto"/>
              <w:rPr>
                <w:rFonts w:cs="Calibri"/>
                <w:color w:val="000000"/>
                <w:sz w:val="2"/>
                <w:szCs w:val="2"/>
              </w:rPr>
            </w:pPr>
          </w:p>
        </w:tc>
        <w:tc>
          <w:tcPr>
            <w:tcW w:w="864" w:type="dxa"/>
            <w:gridSpan w:val="7"/>
          </w:tcPr>
          <w:p>
            <w:pPr>
              <w:tabs>
                <w:tab w:val="left" w:pos="4678"/>
              </w:tabs>
              <w:spacing w:after="0" w:line="240" w:lineRule="auto"/>
              <w:rPr>
                <w:rFonts w:cs="Calibri"/>
                <w:color w:val="000000"/>
                <w:sz w:val="2"/>
                <w:szCs w:val="2"/>
              </w:rPr>
            </w:pPr>
          </w:p>
        </w:tc>
        <w:tc>
          <w:tcPr>
            <w:tcW w:w="783" w:type="dxa"/>
            <w:gridSpan w:val="8"/>
          </w:tcPr>
          <w:p>
            <w:pPr>
              <w:tabs>
                <w:tab w:val="left" w:pos="4678"/>
              </w:tabs>
              <w:spacing w:after="0" w:line="240" w:lineRule="auto"/>
              <w:rPr>
                <w:rFonts w:cs="Calibri"/>
                <w:color w:val="000000"/>
                <w:sz w:val="2"/>
                <w:szCs w:val="2"/>
              </w:rPr>
            </w:pPr>
          </w:p>
        </w:tc>
        <w:tc>
          <w:tcPr>
            <w:tcW w:w="750" w:type="dxa"/>
            <w:gridSpan w:val="7"/>
          </w:tcPr>
          <w:p>
            <w:pPr>
              <w:tabs>
                <w:tab w:val="left" w:pos="4678"/>
              </w:tabs>
              <w:spacing w:after="0" w:line="240" w:lineRule="auto"/>
              <w:rPr>
                <w:rFonts w:cs="Calibri"/>
                <w:color w:val="000000"/>
                <w:sz w:val="2"/>
                <w:szCs w:val="2"/>
              </w:rPr>
            </w:pPr>
          </w:p>
        </w:tc>
        <w:tc>
          <w:tcPr>
            <w:tcW w:w="1325" w:type="dxa"/>
            <w:gridSpan w:val="10"/>
          </w:tcPr>
          <w:p>
            <w:pPr>
              <w:tabs>
                <w:tab w:val="left" w:pos="4678"/>
              </w:tabs>
              <w:spacing w:after="0" w:line="240" w:lineRule="auto"/>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Perspektif</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i/>
                <w:iCs/>
                <w:color w:val="000000"/>
                <w:sz w:val="20"/>
                <w:szCs w:val="20"/>
              </w:rPr>
            </w:pPr>
            <w:r>
              <w:rPr>
                <w:rFonts w:cs="Calibri"/>
                <w:i/>
                <w:iCs/>
                <w:color w:val="000000"/>
                <w:sz w:val="20"/>
                <w:szCs w:val="20"/>
              </w:rPr>
              <w:t>Finansial</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i/>
                <w:iCs/>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i/>
                <w:iCs/>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i/>
                <w:iCs/>
                <w:color w:val="000000"/>
                <w:sz w:val="20"/>
                <w:szCs w:val="20"/>
              </w:rPr>
            </w:pPr>
          </w:p>
        </w:tc>
        <w:tc>
          <w:tcPr>
            <w:tcW w:w="271" w:type="dxa"/>
            <w:gridSpan w:val="3"/>
            <w:tcBorders>
              <w:left w:val="nil"/>
            </w:tcBorders>
          </w:tcPr>
          <w:p>
            <w:pPr>
              <w:tabs>
                <w:tab w:val="left" w:pos="4678"/>
              </w:tabs>
              <w:spacing w:after="0" w:line="240" w:lineRule="auto"/>
              <w:rPr>
                <w:rFonts w:cs="Calibri"/>
                <w:i/>
                <w:iCs/>
                <w:color w:val="000000"/>
                <w:sz w:val="20"/>
                <w:szCs w:val="20"/>
              </w:rPr>
            </w:pPr>
            <w:r>
              <w:rPr>
                <w:rFonts w:cs="Calibri"/>
                <w:i/>
                <w:iCs/>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jc w:val="both"/>
              <w:rPr>
                <w:rFonts w:cs="Calibri"/>
                <w:i/>
                <w:iCs/>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jc w:val="both"/>
              <w:rPr>
                <w:rFonts w:ascii="Times New Roman" w:hAnsi="Times New Roman"/>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4716" w:type="dxa"/>
            <w:gridSpan w:val="37"/>
          </w:tcPr>
          <w:p>
            <w:pPr>
              <w:tabs>
                <w:tab w:val="left" w:pos="4678"/>
              </w:tabs>
              <w:spacing w:after="0" w:line="240" w:lineRule="auto"/>
              <w:jc w:val="both"/>
              <w:rPr>
                <w:rFonts w:cs="Calibri"/>
                <w:i/>
                <w:iCs/>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Sasaran Strategis</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Calibri"/>
                <w:color w:val="000000"/>
                <w:sz w:val="20"/>
                <w:szCs w:val="20"/>
              </w:rPr>
              <w:t>Terwujudnya keuangan yang akuntabel, transparan dan cost-effective</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90" w:type="dxa"/>
            <w:gridSpan w:val="2"/>
          </w:tcPr>
          <w:p>
            <w:pPr>
              <w:tabs>
                <w:tab w:val="left" w:pos="4678"/>
              </w:tabs>
              <w:spacing w:after="0" w:line="240" w:lineRule="auto"/>
              <w:rPr>
                <w:rFonts w:cs="Calibri"/>
                <w:b/>
                <w:bCs/>
                <w:color w:val="000000"/>
                <w:sz w:val="3"/>
                <w:szCs w:val="3"/>
              </w:rPr>
            </w:pPr>
          </w:p>
        </w:tc>
        <w:tc>
          <w:tcPr>
            <w:tcW w:w="294" w:type="dxa"/>
            <w:gridSpan w:val="2"/>
          </w:tcPr>
          <w:p>
            <w:pPr>
              <w:tabs>
                <w:tab w:val="left" w:pos="4678"/>
              </w:tabs>
              <w:spacing w:after="0" w:line="240" w:lineRule="auto"/>
              <w:jc w:val="center"/>
              <w:rPr>
                <w:rFonts w:cs="Calibri"/>
                <w:b/>
                <w:bCs/>
                <w:color w:val="000000"/>
                <w:sz w:val="2"/>
                <w:szCs w:val="2"/>
              </w:rPr>
            </w:pPr>
          </w:p>
        </w:tc>
        <w:tc>
          <w:tcPr>
            <w:tcW w:w="5213" w:type="dxa"/>
            <w:gridSpan w:val="2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cs="Calibri"/>
                <w:color w:val="000000"/>
                <w:sz w:val="2"/>
                <w:szCs w:val="2"/>
              </w:rPr>
            </w:pPr>
          </w:p>
        </w:tc>
        <w:tc>
          <w:tcPr>
            <w:tcW w:w="311" w:type="dxa"/>
            <w:gridSpan w:val="4"/>
            <w:tcBorders>
              <w:left w:val="single" w:color="1F497D" w:sz="4" w:space="0"/>
            </w:tcBorders>
          </w:tcPr>
          <w:p>
            <w:pPr>
              <w:tabs>
                <w:tab w:val="left" w:pos="4678"/>
              </w:tabs>
              <w:spacing w:after="0" w:line="240" w:lineRule="auto"/>
              <w:rPr>
                <w:rFonts w:cs="Calibri"/>
                <w:color w:val="000000"/>
                <w:sz w:val="2"/>
                <w:szCs w:val="2"/>
              </w:rPr>
            </w:pPr>
          </w:p>
        </w:tc>
        <w:tc>
          <w:tcPr>
            <w:tcW w:w="278" w:type="dxa"/>
            <w:gridSpan w:val="2"/>
          </w:tcPr>
          <w:p>
            <w:pPr>
              <w:tabs>
                <w:tab w:val="left" w:pos="4678"/>
              </w:tabs>
              <w:spacing w:after="0" w:line="240" w:lineRule="auto"/>
              <w:rPr>
                <w:rFonts w:cs="Calibri"/>
                <w:color w:val="000000"/>
                <w:sz w:val="2"/>
                <w:szCs w:val="2"/>
              </w:rPr>
            </w:pP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4716" w:type="dxa"/>
            <w:gridSpan w:val="37"/>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KPI</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color w:val="000000"/>
                <w:sz w:val="20"/>
                <w:szCs w:val="20"/>
              </w:rPr>
              <w:t>Hasil Audit Keuangan</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tcBorders>
          </w:tcPr>
          <w:p>
            <w:pPr>
              <w:tabs>
                <w:tab w:val="left" w:pos="4678"/>
              </w:tabs>
              <w:spacing w:after="0" w:line="240" w:lineRule="auto"/>
              <w:jc w:val="both"/>
              <w:rPr>
                <w:rFonts w:cs="Calibri"/>
                <w:color w:val="000000"/>
                <w:sz w:val="2"/>
                <w:szCs w:val="2"/>
              </w:rPr>
            </w:pPr>
          </w:p>
        </w:tc>
        <w:tc>
          <w:tcPr>
            <w:tcW w:w="847" w:type="dxa"/>
            <w:gridSpan w:val="4"/>
            <w:tcBorders>
              <w:top w:val="single" w:color="1F497D" w:sz="4" w:space="0"/>
            </w:tcBorders>
          </w:tcPr>
          <w:p>
            <w:pPr>
              <w:tabs>
                <w:tab w:val="left" w:pos="4678"/>
              </w:tabs>
              <w:spacing w:after="0" w:line="240" w:lineRule="auto"/>
              <w:jc w:val="both"/>
              <w:rPr>
                <w:rFonts w:cs="Calibri"/>
                <w:color w:val="000000"/>
                <w:sz w:val="2"/>
                <w:szCs w:val="2"/>
              </w:rPr>
            </w:pPr>
          </w:p>
        </w:tc>
        <w:tc>
          <w:tcPr>
            <w:tcW w:w="786" w:type="dxa"/>
            <w:gridSpan w:val="6"/>
            <w:tcBorders>
              <w:top w:val="single" w:color="1F497D" w:sz="4" w:space="0"/>
            </w:tcBorders>
          </w:tcPr>
          <w:p>
            <w:pPr>
              <w:tabs>
                <w:tab w:val="left" w:pos="4678"/>
              </w:tabs>
              <w:spacing w:after="0" w:line="240" w:lineRule="auto"/>
              <w:jc w:val="both"/>
              <w:rPr>
                <w:rFonts w:cs="Calibri"/>
                <w:color w:val="000000"/>
                <w:sz w:val="2"/>
                <w:szCs w:val="2"/>
              </w:rPr>
            </w:pPr>
          </w:p>
        </w:tc>
        <w:tc>
          <w:tcPr>
            <w:tcW w:w="882" w:type="dxa"/>
            <w:gridSpan w:val="7"/>
            <w:tcBorders>
              <w:top w:val="single" w:color="1F497D" w:sz="4" w:space="0"/>
            </w:tcBorders>
          </w:tcPr>
          <w:p>
            <w:pPr>
              <w:tabs>
                <w:tab w:val="left" w:pos="4678"/>
              </w:tabs>
              <w:spacing w:after="0" w:line="240" w:lineRule="auto"/>
              <w:jc w:val="both"/>
              <w:rPr>
                <w:rFonts w:cs="Calibri"/>
                <w:color w:val="000000"/>
                <w:sz w:val="2"/>
                <w:szCs w:val="2"/>
              </w:rPr>
            </w:pPr>
          </w:p>
        </w:tc>
        <w:tc>
          <w:tcPr>
            <w:tcW w:w="1396" w:type="dxa"/>
            <w:gridSpan w:val="7"/>
            <w:tcBorders>
              <w:top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jc w:val="both"/>
              <w:rPr>
                <w:rFonts w:cs="Calibri"/>
                <w:color w:val="000000"/>
                <w:sz w:val="2"/>
                <w:szCs w:val="2"/>
              </w:rPr>
            </w:pPr>
          </w:p>
        </w:tc>
        <w:tc>
          <w:tcPr>
            <w:tcW w:w="864" w:type="dxa"/>
            <w:gridSpan w:val="7"/>
          </w:tcPr>
          <w:p>
            <w:pPr>
              <w:tabs>
                <w:tab w:val="left" w:pos="4678"/>
              </w:tabs>
              <w:spacing w:after="0" w:line="240" w:lineRule="auto"/>
              <w:jc w:val="both"/>
              <w:rPr>
                <w:rFonts w:cs="Calibri"/>
                <w:color w:val="000000"/>
                <w:sz w:val="2"/>
                <w:szCs w:val="2"/>
              </w:rPr>
            </w:pPr>
          </w:p>
        </w:tc>
        <w:tc>
          <w:tcPr>
            <w:tcW w:w="783" w:type="dxa"/>
            <w:gridSpan w:val="8"/>
          </w:tcPr>
          <w:p>
            <w:pPr>
              <w:tabs>
                <w:tab w:val="left" w:pos="4678"/>
              </w:tabs>
              <w:spacing w:after="0" w:line="240" w:lineRule="auto"/>
              <w:jc w:val="both"/>
              <w:rPr>
                <w:rFonts w:cs="Calibri"/>
                <w:color w:val="000000"/>
                <w:sz w:val="2"/>
                <w:szCs w:val="2"/>
              </w:rPr>
            </w:pPr>
          </w:p>
        </w:tc>
        <w:tc>
          <w:tcPr>
            <w:tcW w:w="750" w:type="dxa"/>
            <w:gridSpan w:val="7"/>
          </w:tcPr>
          <w:p>
            <w:pPr>
              <w:tabs>
                <w:tab w:val="left" w:pos="4678"/>
              </w:tabs>
              <w:spacing w:after="0" w:line="240" w:lineRule="auto"/>
              <w:jc w:val="both"/>
              <w:rPr>
                <w:rFonts w:cs="Calibri"/>
                <w:color w:val="000000"/>
                <w:sz w:val="2"/>
                <w:szCs w:val="2"/>
              </w:rPr>
            </w:pPr>
          </w:p>
        </w:tc>
        <w:tc>
          <w:tcPr>
            <w:tcW w:w="1325" w:type="dxa"/>
            <w:gridSpan w:val="10"/>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Definisi</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left w:val="single" w:color="1F497D" w:sz="4" w:space="0"/>
              <w:bottom w:val="single" w:color="1F497D" w:sz="4" w:space="0"/>
              <w:right w:val="single" w:color="1F497D" w:sz="4" w:space="0"/>
            </w:tcBorders>
          </w:tcPr>
          <w:p>
            <w:pPr>
              <w:tabs>
                <w:tab w:val="left" w:pos="4678"/>
              </w:tabs>
              <w:spacing w:after="0" w:line="240" w:lineRule="auto"/>
              <w:jc w:val="both"/>
              <w:rPr>
                <w:rFonts w:cs="Arial"/>
                <w:sz w:val="20"/>
                <w:szCs w:val="20"/>
              </w:rPr>
            </w:pPr>
            <w:r>
              <w:rPr>
                <w:rFonts w:cs="Arial"/>
                <w:sz w:val="20"/>
                <w:szCs w:val="20"/>
              </w:rPr>
              <w:t>Audit laporan keuangan merupakan penilaian kewajaran laporan keuangan atas suatu entitas atau badan hukum lainnya (termasuk pemerintah) sehingga dapat dihasilkan pendapat yang independen tentang laporan keuangan yang Transparansi, Akuntabilitas dan Cost effective.</w:t>
            </w:r>
          </w:p>
          <w:p>
            <w:pPr>
              <w:tabs>
                <w:tab w:val="left" w:pos="4678"/>
              </w:tabs>
              <w:spacing w:after="0" w:line="240" w:lineRule="auto"/>
              <w:jc w:val="both"/>
              <w:rPr>
                <w:rFonts w:cs="Arial"/>
                <w:sz w:val="20"/>
                <w:szCs w:val="20"/>
              </w:rPr>
            </w:pPr>
          </w:p>
          <w:p>
            <w:pPr>
              <w:tabs>
                <w:tab w:val="left" w:pos="4678"/>
              </w:tabs>
              <w:spacing w:after="0" w:line="240" w:lineRule="auto"/>
              <w:jc w:val="both"/>
              <w:rPr>
                <w:rFonts w:cs="Arial"/>
                <w:sz w:val="20"/>
                <w:szCs w:val="20"/>
              </w:rPr>
            </w:pPr>
          </w:p>
          <w:p>
            <w:pPr>
              <w:tabs>
                <w:tab w:val="left" w:pos="4678"/>
              </w:tabs>
              <w:spacing w:after="0" w:line="240" w:lineRule="auto"/>
              <w:jc w:val="both"/>
              <w:rPr>
                <w:rFonts w:cs="Arial"/>
                <w:sz w:val="20"/>
                <w:szCs w:val="20"/>
              </w:rPr>
            </w:pPr>
          </w:p>
          <w:p>
            <w:pPr>
              <w:tabs>
                <w:tab w:val="left" w:pos="4678"/>
              </w:tabs>
              <w:spacing w:after="0" w:line="240" w:lineRule="auto"/>
              <w:jc w:val="both"/>
              <w:rPr>
                <w:rFonts w:cs="Arial"/>
                <w:sz w:val="20"/>
                <w:szCs w:val="20"/>
              </w:rPr>
            </w:pPr>
          </w:p>
          <w:p>
            <w:pPr>
              <w:tabs>
                <w:tab w:val="left" w:pos="4678"/>
              </w:tabs>
              <w:spacing w:after="0" w:line="240" w:lineRule="auto"/>
              <w:jc w:val="both"/>
              <w:rPr>
                <w:rFonts w:cs="Arial"/>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p>
            <w:pPr>
              <w:tabs>
                <w:tab w:val="left" w:pos="4678"/>
              </w:tabs>
              <w:spacing w:after="0" w:line="240" w:lineRule="auto"/>
              <w:jc w:val="both"/>
              <w:rPr>
                <w:rFonts w:cs="Calibri"/>
                <w:color w:val="000000"/>
                <w:sz w:val="20"/>
                <w:szCs w:val="20"/>
              </w:rPr>
            </w:pP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lang w:val="sv-SE"/>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lang w:val="sv-SE"/>
              </w:rPr>
            </w:pPr>
          </w:p>
        </w:tc>
        <w:tc>
          <w:tcPr>
            <w:tcW w:w="278" w:type="dxa"/>
            <w:gridSpan w:val="2"/>
          </w:tcPr>
          <w:p>
            <w:pPr>
              <w:tabs>
                <w:tab w:val="left" w:pos="4678"/>
              </w:tabs>
              <w:spacing w:after="0" w:line="240" w:lineRule="auto"/>
              <w:rPr>
                <w:rFonts w:cs="Calibri"/>
                <w:color w:val="000000"/>
                <w:sz w:val="20"/>
                <w:szCs w:val="20"/>
                <w:lang w:val="sv-SE"/>
              </w:rPr>
            </w:pPr>
            <w:r>
              <w:rPr>
                <w:rFonts w:cs="Calibri"/>
                <w:color w:val="000000"/>
                <w:sz w:val="20"/>
                <w:szCs w:val="20"/>
                <w:lang w:val="sv-SE"/>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jc w:val="both"/>
              <w:rPr>
                <w:rFonts w:cs="Calibri"/>
                <w:color w:val="000000"/>
                <w:sz w:val="2"/>
                <w:szCs w:val="2"/>
              </w:rPr>
            </w:pPr>
          </w:p>
        </w:tc>
        <w:tc>
          <w:tcPr>
            <w:tcW w:w="864" w:type="dxa"/>
            <w:gridSpan w:val="7"/>
          </w:tcPr>
          <w:p>
            <w:pPr>
              <w:tabs>
                <w:tab w:val="left" w:pos="4678"/>
              </w:tabs>
              <w:spacing w:after="0" w:line="240" w:lineRule="auto"/>
              <w:jc w:val="both"/>
              <w:rPr>
                <w:rFonts w:cs="Calibri"/>
                <w:color w:val="000000"/>
                <w:sz w:val="2"/>
                <w:szCs w:val="2"/>
              </w:rPr>
            </w:pPr>
          </w:p>
        </w:tc>
        <w:tc>
          <w:tcPr>
            <w:tcW w:w="783" w:type="dxa"/>
            <w:gridSpan w:val="8"/>
          </w:tcPr>
          <w:p>
            <w:pPr>
              <w:tabs>
                <w:tab w:val="left" w:pos="4678"/>
              </w:tabs>
              <w:spacing w:after="0" w:line="240" w:lineRule="auto"/>
              <w:jc w:val="both"/>
              <w:rPr>
                <w:rFonts w:cs="Calibri"/>
                <w:color w:val="000000"/>
                <w:sz w:val="2"/>
                <w:szCs w:val="2"/>
              </w:rPr>
            </w:pPr>
          </w:p>
        </w:tc>
        <w:tc>
          <w:tcPr>
            <w:tcW w:w="750" w:type="dxa"/>
            <w:gridSpan w:val="7"/>
          </w:tcPr>
          <w:p>
            <w:pPr>
              <w:tabs>
                <w:tab w:val="left" w:pos="4678"/>
              </w:tabs>
              <w:spacing w:after="0" w:line="240" w:lineRule="auto"/>
              <w:jc w:val="both"/>
              <w:rPr>
                <w:rFonts w:cs="Calibri"/>
                <w:color w:val="000000"/>
                <w:sz w:val="2"/>
                <w:szCs w:val="2"/>
              </w:rPr>
            </w:pPr>
          </w:p>
        </w:tc>
        <w:tc>
          <w:tcPr>
            <w:tcW w:w="1325" w:type="dxa"/>
            <w:gridSpan w:val="10"/>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Formula</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spacing w:before="60" w:after="0" w:line="240" w:lineRule="auto"/>
              <w:rPr>
                <w:rFonts w:cs="Arial"/>
                <w:sz w:val="20"/>
                <w:szCs w:val="20"/>
              </w:rPr>
            </w:pPr>
            <w:r>
              <w:rPr>
                <w:rFonts w:cs="Arial"/>
                <w:sz w:val="20"/>
                <w:szCs w:val="20"/>
              </w:rPr>
              <w:t>Sesuai Pedoman Standard Akuntansi Pemerintah (PSAP) &amp; Pedoman Standard Akuntansi Keuangan (PABLU)</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spacing w:before="60" w:after="0" w:line="240" w:lineRule="auto"/>
              <w:rPr>
                <w:rFonts w:cs="Arial"/>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3"/>
                <w:szCs w:val="3"/>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jc w:val="both"/>
              <w:rPr>
                <w:rFonts w:cs="Calibri"/>
                <w:color w:val="000000"/>
                <w:sz w:val="2"/>
                <w:szCs w:val="2"/>
              </w:rPr>
            </w:pPr>
          </w:p>
        </w:tc>
        <w:tc>
          <w:tcPr>
            <w:tcW w:w="864" w:type="dxa"/>
            <w:gridSpan w:val="7"/>
          </w:tcPr>
          <w:p>
            <w:pPr>
              <w:tabs>
                <w:tab w:val="left" w:pos="4678"/>
              </w:tabs>
              <w:spacing w:after="0" w:line="240" w:lineRule="auto"/>
              <w:jc w:val="both"/>
              <w:rPr>
                <w:rFonts w:cs="Calibri"/>
                <w:color w:val="000000"/>
                <w:sz w:val="2"/>
                <w:szCs w:val="2"/>
              </w:rPr>
            </w:pPr>
          </w:p>
        </w:tc>
        <w:tc>
          <w:tcPr>
            <w:tcW w:w="783" w:type="dxa"/>
            <w:gridSpan w:val="8"/>
          </w:tcPr>
          <w:p>
            <w:pPr>
              <w:tabs>
                <w:tab w:val="left" w:pos="4678"/>
              </w:tabs>
              <w:spacing w:after="0" w:line="240" w:lineRule="auto"/>
              <w:jc w:val="both"/>
              <w:rPr>
                <w:rFonts w:cs="Calibri"/>
                <w:color w:val="000000"/>
                <w:sz w:val="2"/>
                <w:szCs w:val="2"/>
              </w:rPr>
            </w:pPr>
          </w:p>
        </w:tc>
        <w:tc>
          <w:tcPr>
            <w:tcW w:w="750" w:type="dxa"/>
            <w:gridSpan w:val="7"/>
          </w:tcPr>
          <w:p>
            <w:pPr>
              <w:tabs>
                <w:tab w:val="left" w:pos="4678"/>
              </w:tabs>
              <w:spacing w:after="0" w:line="240" w:lineRule="auto"/>
              <w:jc w:val="both"/>
              <w:rPr>
                <w:rFonts w:cs="Calibri"/>
                <w:color w:val="000000"/>
                <w:sz w:val="2"/>
                <w:szCs w:val="2"/>
              </w:rPr>
            </w:pPr>
          </w:p>
        </w:tc>
        <w:tc>
          <w:tcPr>
            <w:tcW w:w="1325" w:type="dxa"/>
            <w:gridSpan w:val="10"/>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Bobot KPI (%)</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jc w:val="both"/>
              <w:rPr>
                <w:rFonts w:cs="Calibri"/>
                <w:color w:val="000000"/>
                <w:sz w:val="2"/>
                <w:szCs w:val="2"/>
              </w:rPr>
            </w:pPr>
          </w:p>
        </w:tc>
        <w:tc>
          <w:tcPr>
            <w:tcW w:w="864" w:type="dxa"/>
            <w:gridSpan w:val="7"/>
          </w:tcPr>
          <w:p>
            <w:pPr>
              <w:tabs>
                <w:tab w:val="left" w:pos="4678"/>
              </w:tabs>
              <w:spacing w:after="0" w:line="240" w:lineRule="auto"/>
              <w:jc w:val="both"/>
              <w:rPr>
                <w:rFonts w:cs="Calibri"/>
                <w:color w:val="000000"/>
                <w:sz w:val="2"/>
                <w:szCs w:val="2"/>
              </w:rPr>
            </w:pPr>
          </w:p>
        </w:tc>
        <w:tc>
          <w:tcPr>
            <w:tcW w:w="783" w:type="dxa"/>
            <w:gridSpan w:val="8"/>
          </w:tcPr>
          <w:p>
            <w:pPr>
              <w:tabs>
                <w:tab w:val="left" w:pos="4678"/>
              </w:tabs>
              <w:spacing w:after="0" w:line="240" w:lineRule="auto"/>
              <w:jc w:val="both"/>
              <w:rPr>
                <w:rFonts w:cs="Calibri"/>
                <w:color w:val="000000"/>
                <w:sz w:val="2"/>
                <w:szCs w:val="2"/>
              </w:rPr>
            </w:pPr>
          </w:p>
        </w:tc>
        <w:tc>
          <w:tcPr>
            <w:tcW w:w="750" w:type="dxa"/>
            <w:gridSpan w:val="7"/>
          </w:tcPr>
          <w:p>
            <w:pPr>
              <w:tabs>
                <w:tab w:val="left" w:pos="4678"/>
              </w:tabs>
              <w:spacing w:after="0" w:line="240" w:lineRule="auto"/>
              <w:jc w:val="both"/>
              <w:rPr>
                <w:rFonts w:cs="Calibri"/>
                <w:color w:val="000000"/>
                <w:sz w:val="2"/>
                <w:szCs w:val="2"/>
              </w:rPr>
            </w:pPr>
          </w:p>
        </w:tc>
        <w:tc>
          <w:tcPr>
            <w:tcW w:w="1325" w:type="dxa"/>
            <w:gridSpan w:val="10"/>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Person in Charge</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Direktur Keuangan RSHS</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3"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90" w:type="dxa"/>
            <w:gridSpan w:val="2"/>
          </w:tcPr>
          <w:p>
            <w:pPr>
              <w:tabs>
                <w:tab w:val="left" w:pos="4678"/>
              </w:tabs>
              <w:spacing w:after="0" w:line="240" w:lineRule="auto"/>
              <w:rPr>
                <w:rFonts w:cs="Calibri"/>
                <w:b/>
                <w:bCs/>
                <w:color w:val="000000"/>
                <w:sz w:val="2"/>
                <w:szCs w:val="2"/>
              </w:rPr>
            </w:pPr>
          </w:p>
        </w:tc>
        <w:tc>
          <w:tcPr>
            <w:tcW w:w="294" w:type="dxa"/>
            <w:gridSpan w:val="2"/>
          </w:tcPr>
          <w:p>
            <w:pPr>
              <w:tabs>
                <w:tab w:val="left" w:pos="4678"/>
              </w:tabs>
              <w:spacing w:after="0" w:line="240" w:lineRule="auto"/>
              <w:jc w:val="center"/>
              <w:rPr>
                <w:rFonts w:cs="Calibri"/>
                <w:b/>
                <w:bCs/>
                <w:color w:val="000000"/>
                <w:sz w:val="2"/>
                <w:szCs w:val="2"/>
              </w:rPr>
            </w:pPr>
          </w:p>
        </w:tc>
        <w:tc>
          <w:tcPr>
            <w:tcW w:w="5213" w:type="dxa"/>
            <w:gridSpan w:val="2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left w:val="nil"/>
              <w:right w:val="single" w:color="1F497D" w:sz="4" w:space="0"/>
            </w:tcBorders>
          </w:tcPr>
          <w:p>
            <w:pPr>
              <w:tabs>
                <w:tab w:val="left" w:pos="4678"/>
              </w:tabs>
              <w:spacing w:after="0" w:line="240" w:lineRule="auto"/>
              <w:rPr>
                <w:rFonts w:cs="Calibri"/>
                <w:color w:val="000000"/>
                <w:sz w:val="2"/>
                <w:szCs w:val="2"/>
              </w:rPr>
            </w:pPr>
          </w:p>
        </w:tc>
        <w:tc>
          <w:tcPr>
            <w:tcW w:w="311" w:type="dxa"/>
            <w:gridSpan w:val="4"/>
            <w:tcBorders>
              <w:left w:val="single" w:color="1F497D" w:sz="4" w:space="0"/>
            </w:tcBorders>
          </w:tcPr>
          <w:p>
            <w:pPr>
              <w:tabs>
                <w:tab w:val="left" w:pos="4678"/>
              </w:tabs>
              <w:spacing w:after="0" w:line="240" w:lineRule="auto"/>
              <w:rPr>
                <w:rFonts w:cs="Calibri"/>
                <w:color w:val="000000"/>
                <w:sz w:val="2"/>
                <w:szCs w:val="2"/>
              </w:rPr>
            </w:pPr>
          </w:p>
        </w:tc>
        <w:tc>
          <w:tcPr>
            <w:tcW w:w="278" w:type="dxa"/>
            <w:gridSpan w:val="2"/>
          </w:tcPr>
          <w:p>
            <w:pPr>
              <w:tabs>
                <w:tab w:val="left" w:pos="4678"/>
              </w:tabs>
              <w:spacing w:after="0" w:line="240" w:lineRule="auto"/>
              <w:rPr>
                <w:rFonts w:cs="Calibri"/>
                <w:color w:val="000000"/>
                <w:sz w:val="2"/>
                <w:szCs w:val="2"/>
              </w:rPr>
            </w:pP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4716" w:type="dxa"/>
            <w:gridSpan w:val="37"/>
          </w:tcPr>
          <w:p>
            <w:pPr>
              <w:tabs>
                <w:tab w:val="left" w:pos="4678"/>
              </w:tabs>
              <w:spacing w:after="0" w:line="240" w:lineRule="auto"/>
              <w:jc w:val="both"/>
              <w:rPr>
                <w:rFonts w:cs="Calibri"/>
                <w:color w:val="000000"/>
                <w:sz w:val="2"/>
                <w:szCs w:val="2"/>
              </w:rPr>
            </w:pPr>
          </w:p>
        </w:tc>
        <w:tc>
          <w:tcPr>
            <w:tcW w:w="271" w:type="dxa"/>
            <w:gridSpan w:val="3"/>
            <w:tcBorders>
              <w:left w:val="nil"/>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Sumber Data</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rPr>
                <w:rFonts w:cs="Calibri"/>
                <w:b/>
                <w:color w:val="000000"/>
                <w:sz w:val="20"/>
                <w:szCs w:val="20"/>
              </w:rPr>
            </w:pPr>
            <w:r>
              <w:rPr>
                <w:rFonts w:cs="Arial"/>
                <w:sz w:val="20"/>
                <w:szCs w:val="20"/>
              </w:rPr>
              <w:t>Laporan Keuangan Tahunan</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rPr>
                <w:rFonts w:cs="Calibri"/>
                <w:b/>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jc w:val="both"/>
              <w:rPr>
                <w:rFonts w:cs="Calibri"/>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jc w:val="both"/>
              <w:rPr>
                <w:rFonts w:cs="Calibri"/>
                <w:color w:val="000000"/>
                <w:sz w:val="2"/>
                <w:szCs w:val="2"/>
              </w:rPr>
            </w:pPr>
          </w:p>
        </w:tc>
        <w:tc>
          <w:tcPr>
            <w:tcW w:w="864" w:type="dxa"/>
            <w:gridSpan w:val="7"/>
          </w:tcPr>
          <w:p>
            <w:pPr>
              <w:tabs>
                <w:tab w:val="left" w:pos="4678"/>
              </w:tabs>
              <w:spacing w:after="0" w:line="240" w:lineRule="auto"/>
              <w:jc w:val="both"/>
              <w:rPr>
                <w:rFonts w:cs="Calibri"/>
                <w:color w:val="000000"/>
                <w:sz w:val="2"/>
                <w:szCs w:val="2"/>
              </w:rPr>
            </w:pPr>
          </w:p>
        </w:tc>
        <w:tc>
          <w:tcPr>
            <w:tcW w:w="783" w:type="dxa"/>
            <w:gridSpan w:val="8"/>
          </w:tcPr>
          <w:p>
            <w:pPr>
              <w:tabs>
                <w:tab w:val="left" w:pos="4678"/>
              </w:tabs>
              <w:spacing w:after="0" w:line="240" w:lineRule="auto"/>
              <w:jc w:val="both"/>
              <w:rPr>
                <w:rFonts w:cs="Calibri"/>
                <w:color w:val="000000"/>
                <w:sz w:val="2"/>
                <w:szCs w:val="2"/>
              </w:rPr>
            </w:pPr>
          </w:p>
        </w:tc>
        <w:tc>
          <w:tcPr>
            <w:tcW w:w="750" w:type="dxa"/>
            <w:gridSpan w:val="7"/>
          </w:tcPr>
          <w:p>
            <w:pPr>
              <w:tabs>
                <w:tab w:val="left" w:pos="4678"/>
              </w:tabs>
              <w:spacing w:after="0" w:line="240" w:lineRule="auto"/>
              <w:jc w:val="both"/>
              <w:rPr>
                <w:rFonts w:cs="Calibri"/>
                <w:color w:val="000000"/>
                <w:sz w:val="2"/>
                <w:szCs w:val="2"/>
              </w:rPr>
            </w:pPr>
          </w:p>
        </w:tc>
        <w:tc>
          <w:tcPr>
            <w:tcW w:w="1325" w:type="dxa"/>
            <w:gridSpan w:val="10"/>
          </w:tcPr>
          <w:p>
            <w:pPr>
              <w:tabs>
                <w:tab w:val="left" w:pos="4678"/>
              </w:tabs>
              <w:spacing w:after="0" w:line="240" w:lineRule="auto"/>
              <w:jc w:val="both"/>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186"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Periode Pelaporan</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5213" w:type="dxa"/>
            <w:gridSpan w:val="27"/>
            <w:tcBorders>
              <w:top w:val="single" w:color="1F497D" w:sz="4" w:space="0"/>
              <w:left w:val="single" w:color="1F497D" w:sz="4" w:space="0"/>
              <w:bottom w:val="single" w:color="1F497D" w:sz="4" w:space="0"/>
              <w:right w:val="single" w:color="1F497D" w:sz="4" w:space="0"/>
            </w:tcBorders>
          </w:tcPr>
          <w:p>
            <w:pPr>
              <w:tabs>
                <w:tab w:val="left" w:pos="4678"/>
              </w:tabs>
              <w:spacing w:after="0" w:line="240" w:lineRule="auto"/>
              <w:jc w:val="both"/>
              <w:rPr>
                <w:rFonts w:cs="Calibri"/>
                <w:color w:val="000000"/>
                <w:sz w:val="20"/>
                <w:szCs w:val="20"/>
              </w:rPr>
            </w:pPr>
            <w:r>
              <w:rPr>
                <w:rFonts w:cs="Arial"/>
                <w:sz w:val="20"/>
                <w:szCs w:val="20"/>
              </w:rPr>
              <w:t>Tahunan</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4716" w:type="dxa"/>
            <w:gridSpan w:val="37"/>
          </w:tcPr>
          <w:p>
            <w:pPr>
              <w:tabs>
                <w:tab w:val="left" w:pos="4678"/>
              </w:tabs>
              <w:spacing w:after="0" w:line="240" w:lineRule="auto"/>
              <w:jc w:val="both"/>
              <w:rPr>
                <w:rFonts w:cs="Calibri"/>
                <w:color w:val="000000"/>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37"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r>
              <w:rPr>
                <w:rFonts w:cs="Calibri"/>
                <w:color w:val="000000"/>
                <w:sz w:val="2"/>
                <w:szCs w:val="2"/>
              </w:rPr>
              <w:t> </w:t>
            </w:r>
          </w:p>
        </w:tc>
        <w:tc>
          <w:tcPr>
            <w:tcW w:w="1890" w:type="dxa"/>
            <w:gridSpan w:val="2"/>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r>
              <w:rPr>
                <w:rFonts w:ascii="Times New Roman" w:hAnsi="Times New Roman"/>
                <w:color w:val="000000"/>
                <w:sz w:val="2"/>
                <w:szCs w:val="2"/>
              </w:rPr>
              <w:t> </w:t>
            </w:r>
          </w:p>
        </w:tc>
        <w:tc>
          <w:tcPr>
            <w:tcW w:w="278" w:type="dxa"/>
            <w:gridSpan w:val="2"/>
          </w:tcPr>
          <w:p>
            <w:pPr>
              <w:tabs>
                <w:tab w:val="left" w:pos="4678"/>
              </w:tabs>
              <w:spacing w:after="0" w:line="240" w:lineRule="auto"/>
              <w:rPr>
                <w:rFonts w:cs="Calibri"/>
                <w:color w:val="000000"/>
                <w:sz w:val="2"/>
                <w:szCs w:val="2"/>
              </w:rPr>
            </w:pPr>
            <w:r>
              <w:rPr>
                <w:rFonts w:cs="Calibri"/>
                <w:color w:val="000000"/>
                <w:sz w:val="2"/>
                <w:szCs w:val="2"/>
              </w:rPr>
              <w:t> </w:t>
            </w: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rPr>
                <w:rFonts w:cs="Calibri"/>
                <w:color w:val="000000"/>
                <w:sz w:val="2"/>
                <w:szCs w:val="2"/>
              </w:rPr>
            </w:pPr>
          </w:p>
        </w:tc>
        <w:tc>
          <w:tcPr>
            <w:tcW w:w="864" w:type="dxa"/>
            <w:gridSpan w:val="7"/>
          </w:tcPr>
          <w:p>
            <w:pPr>
              <w:tabs>
                <w:tab w:val="left" w:pos="4678"/>
              </w:tabs>
              <w:spacing w:after="0" w:line="240" w:lineRule="auto"/>
              <w:rPr>
                <w:rFonts w:cs="Calibri"/>
                <w:color w:val="000000"/>
                <w:sz w:val="2"/>
                <w:szCs w:val="2"/>
              </w:rPr>
            </w:pPr>
          </w:p>
        </w:tc>
        <w:tc>
          <w:tcPr>
            <w:tcW w:w="783" w:type="dxa"/>
            <w:gridSpan w:val="8"/>
          </w:tcPr>
          <w:p>
            <w:pPr>
              <w:tabs>
                <w:tab w:val="left" w:pos="4678"/>
              </w:tabs>
              <w:spacing w:after="0" w:line="240" w:lineRule="auto"/>
              <w:rPr>
                <w:rFonts w:cs="Calibri"/>
                <w:color w:val="000000"/>
                <w:sz w:val="2"/>
                <w:szCs w:val="2"/>
              </w:rPr>
            </w:pPr>
          </w:p>
        </w:tc>
        <w:tc>
          <w:tcPr>
            <w:tcW w:w="750" w:type="dxa"/>
            <w:gridSpan w:val="7"/>
          </w:tcPr>
          <w:p>
            <w:pPr>
              <w:tabs>
                <w:tab w:val="left" w:pos="4678"/>
              </w:tabs>
              <w:spacing w:after="0" w:line="240" w:lineRule="auto"/>
              <w:rPr>
                <w:rFonts w:cs="Calibri"/>
                <w:color w:val="000000"/>
                <w:sz w:val="2"/>
                <w:szCs w:val="2"/>
              </w:rPr>
            </w:pPr>
          </w:p>
        </w:tc>
        <w:tc>
          <w:tcPr>
            <w:tcW w:w="1325" w:type="dxa"/>
            <w:gridSpan w:val="10"/>
          </w:tcPr>
          <w:p>
            <w:pPr>
              <w:tabs>
                <w:tab w:val="left" w:pos="4678"/>
              </w:tabs>
              <w:spacing w:after="0" w:line="240" w:lineRule="auto"/>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r>
              <w:rPr>
                <w:rFonts w:cs="Calibri"/>
                <w:color w:val="000000"/>
                <w:sz w:val="2"/>
                <w:szCs w:val="2"/>
              </w:rPr>
              <w:t> </w:t>
            </w:r>
          </w:p>
        </w:tc>
      </w:tr>
      <w:tr>
        <w:tblPrEx>
          <w:tblLayout w:type="fixed"/>
          <w:tblCellMar>
            <w:top w:w="0" w:type="dxa"/>
            <w:left w:w="108" w:type="dxa"/>
            <w:bottom w:w="0" w:type="dxa"/>
            <w:right w:w="108" w:type="dxa"/>
          </w:tblCellMar>
        </w:tblPrEx>
        <w:trPr>
          <w:gridBefore w:val="1"/>
          <w:wBefore w:w="5" w:type="dxa"/>
          <w:trHeight w:val="213"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90" w:type="dxa"/>
            <w:gridSpan w:val="2"/>
          </w:tcPr>
          <w:p>
            <w:pPr>
              <w:tabs>
                <w:tab w:val="left" w:pos="4678"/>
              </w:tabs>
              <w:spacing w:after="0" w:line="240" w:lineRule="auto"/>
              <w:rPr>
                <w:rFonts w:cs="Calibri"/>
                <w:b/>
                <w:bCs/>
                <w:color w:val="000000"/>
                <w:sz w:val="20"/>
                <w:szCs w:val="20"/>
                <w:lang w:val="id-ID"/>
              </w:rPr>
            </w:pPr>
            <w:r>
              <w:rPr>
                <w:rFonts w:cs="Calibri"/>
                <w:b/>
                <w:bCs/>
                <w:color w:val="000000"/>
                <w:sz w:val="20"/>
                <w:szCs w:val="20"/>
                <w:lang w:val="id-ID"/>
              </w:rPr>
              <w:t>Baseline</w:t>
            </w:r>
          </w:p>
        </w:tc>
        <w:tc>
          <w:tcPr>
            <w:tcW w:w="294" w:type="dxa"/>
            <w:gridSpan w:val="2"/>
            <w:tcBorders>
              <w:right w:val="single" w:color="auto" w:sz="4" w:space="0"/>
            </w:tcBorders>
          </w:tcPr>
          <w:p>
            <w:pPr>
              <w:tabs>
                <w:tab w:val="left" w:pos="4678"/>
              </w:tabs>
              <w:spacing w:after="0" w:line="240" w:lineRule="auto"/>
              <w:jc w:val="center"/>
              <w:rPr>
                <w:rFonts w:ascii="Times New Roman" w:hAnsi="Times New Roman"/>
                <w:color w:val="000000"/>
                <w:szCs w:val="24"/>
                <w:lang w:val="id-ID"/>
              </w:rPr>
            </w:pPr>
            <w:r>
              <w:rPr>
                <w:rFonts w:ascii="Times New Roman" w:hAnsi="Times New Roman"/>
                <w:color w:val="000000"/>
                <w:szCs w:val="24"/>
                <w:lang w:val="id-ID"/>
              </w:rPr>
              <w:t>:</w:t>
            </w:r>
          </w:p>
        </w:tc>
        <w:tc>
          <w:tcPr>
            <w:tcW w:w="5213" w:type="dxa"/>
            <w:gridSpan w:val="27"/>
            <w:tcBorders>
              <w:top w:val="single" w:color="1F497D" w:sz="4" w:space="0"/>
              <w:left w:val="single" w:color="auto" w:sz="4" w:space="0"/>
              <w:bottom w:val="single" w:color="1F497D" w:sz="4" w:space="0"/>
              <w:right w:val="single" w:color="auto" w:sz="4" w:space="0"/>
            </w:tcBorders>
          </w:tcPr>
          <w:p>
            <w:pPr>
              <w:tabs>
                <w:tab w:val="left" w:pos="4678"/>
              </w:tabs>
              <w:spacing w:after="0" w:line="240" w:lineRule="auto"/>
              <w:rPr>
                <w:rFonts w:ascii="Times New Roman" w:hAnsi="Times New Roman"/>
                <w:color w:val="000000"/>
                <w:szCs w:val="24"/>
              </w:rPr>
            </w:pPr>
          </w:p>
        </w:tc>
        <w:tc>
          <w:tcPr>
            <w:tcW w:w="271" w:type="dxa"/>
            <w:gridSpan w:val="3"/>
            <w:tcBorders>
              <w:left w:val="single" w:color="auto" w:sz="4" w:space="0"/>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p>
        </w:tc>
        <w:tc>
          <w:tcPr>
            <w:tcW w:w="1903" w:type="dxa"/>
            <w:gridSpan w:val="4"/>
          </w:tcPr>
          <w:p>
            <w:pPr>
              <w:tabs>
                <w:tab w:val="left" w:pos="4678"/>
              </w:tabs>
              <w:spacing w:after="0" w:line="240" w:lineRule="auto"/>
              <w:rPr>
                <w:rFonts w:cs="Calibri"/>
                <w:b/>
                <w:bCs/>
                <w:color w:val="000000"/>
                <w:sz w:val="20"/>
                <w:szCs w:val="20"/>
                <w:lang w:val="id-ID"/>
              </w:rPr>
            </w:pPr>
          </w:p>
        </w:tc>
        <w:tc>
          <w:tcPr>
            <w:tcW w:w="293" w:type="dxa"/>
            <w:gridSpan w:val="2"/>
          </w:tcPr>
          <w:p>
            <w:pPr>
              <w:tabs>
                <w:tab w:val="left" w:pos="4678"/>
              </w:tabs>
              <w:spacing w:after="0" w:line="240" w:lineRule="auto"/>
              <w:jc w:val="center"/>
              <w:rPr>
                <w:rFonts w:ascii="Times New Roman" w:hAnsi="Times New Roman"/>
                <w:color w:val="000000"/>
                <w:szCs w:val="24"/>
                <w:lang w:val="id-ID"/>
              </w:rPr>
            </w:pPr>
          </w:p>
        </w:tc>
        <w:tc>
          <w:tcPr>
            <w:tcW w:w="4716" w:type="dxa"/>
            <w:gridSpan w:val="37"/>
          </w:tcPr>
          <w:p>
            <w:pPr>
              <w:tabs>
                <w:tab w:val="left" w:pos="4678"/>
              </w:tabs>
              <w:spacing w:after="0" w:line="240" w:lineRule="auto"/>
              <w:rPr>
                <w:rFonts w:cs="Calibri"/>
                <w:color w:val="000000"/>
              </w:rPr>
            </w:pPr>
          </w:p>
        </w:tc>
        <w:tc>
          <w:tcPr>
            <w:tcW w:w="271" w:type="dxa"/>
            <w:gridSpan w:val="3"/>
            <w:tcBorders>
              <w:left w:val="nil"/>
            </w:tcBorders>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Before w:val="1"/>
          <w:wBefore w:w="5" w:type="dxa"/>
          <w:trHeight w:val="37"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
                <w:szCs w:val="2"/>
              </w:rPr>
            </w:pPr>
          </w:p>
        </w:tc>
        <w:tc>
          <w:tcPr>
            <w:tcW w:w="1890" w:type="dxa"/>
            <w:gridSpan w:val="2"/>
          </w:tcPr>
          <w:p>
            <w:pPr>
              <w:tabs>
                <w:tab w:val="left" w:pos="4678"/>
              </w:tabs>
              <w:spacing w:after="0" w:line="240" w:lineRule="auto"/>
              <w:rPr>
                <w:rFonts w:ascii="Times New Roman" w:hAnsi="Times New Roman"/>
                <w:color w:val="000000"/>
                <w:sz w:val="2"/>
                <w:szCs w:val="2"/>
              </w:rPr>
            </w:pPr>
          </w:p>
        </w:tc>
        <w:tc>
          <w:tcPr>
            <w:tcW w:w="294" w:type="dxa"/>
            <w:gridSpan w:val="2"/>
          </w:tcPr>
          <w:p>
            <w:pPr>
              <w:tabs>
                <w:tab w:val="left" w:pos="4678"/>
              </w:tabs>
              <w:spacing w:after="0" w:line="240" w:lineRule="auto"/>
              <w:jc w:val="center"/>
              <w:rPr>
                <w:rFonts w:ascii="Times New Roman" w:hAnsi="Times New Roman"/>
                <w:color w:val="000000"/>
                <w:sz w:val="2"/>
                <w:szCs w:val="2"/>
              </w:rPr>
            </w:pPr>
          </w:p>
        </w:tc>
        <w:tc>
          <w:tcPr>
            <w:tcW w:w="1302" w:type="dxa"/>
            <w:gridSpan w:val="3"/>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47" w:type="dxa"/>
            <w:gridSpan w:val="4"/>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786" w:type="dxa"/>
            <w:gridSpan w:val="6"/>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882"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1396" w:type="dxa"/>
            <w:gridSpan w:val="7"/>
            <w:tcBorders>
              <w:top w:val="single" w:color="1F497D" w:sz="4" w:space="0"/>
              <w:bottom w:val="single" w:color="1F497D" w:sz="4" w:space="0"/>
            </w:tcBorders>
          </w:tcPr>
          <w:p>
            <w:pPr>
              <w:tabs>
                <w:tab w:val="left" w:pos="4678"/>
              </w:tabs>
              <w:spacing w:after="0" w:line="240" w:lineRule="auto"/>
              <w:rPr>
                <w:rFonts w:ascii="Times New Roman" w:hAnsi="Times New Roman"/>
                <w:color w:val="000000"/>
                <w:sz w:val="2"/>
                <w:szCs w:val="2"/>
              </w:rPr>
            </w:pPr>
          </w:p>
        </w:tc>
        <w:tc>
          <w:tcPr>
            <w:tcW w:w="271" w:type="dxa"/>
            <w:gridSpan w:val="3"/>
            <w:tcBorders>
              <w:right w:val="single" w:color="1F497D" w:sz="4" w:space="0"/>
            </w:tcBorders>
          </w:tcPr>
          <w:p>
            <w:pPr>
              <w:tabs>
                <w:tab w:val="left" w:pos="4678"/>
              </w:tabs>
              <w:spacing w:after="0" w:line="240" w:lineRule="auto"/>
              <w:rPr>
                <w:rFonts w:ascii="Times New Roman" w:hAnsi="Times New Roman"/>
                <w:color w:val="000000"/>
                <w:sz w:val="2"/>
                <w:szCs w:val="2"/>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2"/>
              </w:rPr>
            </w:pPr>
          </w:p>
        </w:tc>
        <w:tc>
          <w:tcPr>
            <w:tcW w:w="278" w:type="dxa"/>
            <w:gridSpan w:val="2"/>
          </w:tcPr>
          <w:p>
            <w:pPr>
              <w:tabs>
                <w:tab w:val="left" w:pos="4678"/>
              </w:tabs>
              <w:spacing w:after="0" w:line="240" w:lineRule="auto"/>
              <w:rPr>
                <w:rFonts w:cs="Calibri"/>
                <w:color w:val="000000"/>
                <w:sz w:val="2"/>
                <w:szCs w:val="2"/>
              </w:rPr>
            </w:pPr>
          </w:p>
        </w:tc>
        <w:tc>
          <w:tcPr>
            <w:tcW w:w="1903" w:type="dxa"/>
            <w:gridSpan w:val="4"/>
          </w:tcPr>
          <w:p>
            <w:pPr>
              <w:tabs>
                <w:tab w:val="left" w:pos="4678"/>
              </w:tabs>
              <w:spacing w:after="0" w:line="240" w:lineRule="auto"/>
              <w:rPr>
                <w:rFonts w:cs="Calibri"/>
                <w:b/>
                <w:bCs/>
                <w:color w:val="000000"/>
                <w:sz w:val="2"/>
                <w:szCs w:val="2"/>
              </w:rPr>
            </w:pPr>
          </w:p>
        </w:tc>
        <w:tc>
          <w:tcPr>
            <w:tcW w:w="293" w:type="dxa"/>
            <w:gridSpan w:val="2"/>
          </w:tcPr>
          <w:p>
            <w:pPr>
              <w:tabs>
                <w:tab w:val="left" w:pos="4678"/>
              </w:tabs>
              <w:spacing w:after="0" w:line="240" w:lineRule="auto"/>
              <w:jc w:val="center"/>
              <w:rPr>
                <w:rFonts w:cs="Calibri"/>
                <w:b/>
                <w:bCs/>
                <w:color w:val="000000"/>
                <w:sz w:val="2"/>
                <w:szCs w:val="2"/>
              </w:rPr>
            </w:pPr>
          </w:p>
        </w:tc>
        <w:tc>
          <w:tcPr>
            <w:tcW w:w="994" w:type="dxa"/>
            <w:gridSpan w:val="5"/>
          </w:tcPr>
          <w:p>
            <w:pPr>
              <w:tabs>
                <w:tab w:val="left" w:pos="4678"/>
              </w:tabs>
              <w:spacing w:after="0" w:line="240" w:lineRule="auto"/>
              <w:rPr>
                <w:rFonts w:cs="Calibri"/>
                <w:color w:val="000000"/>
                <w:sz w:val="2"/>
                <w:szCs w:val="2"/>
              </w:rPr>
            </w:pPr>
          </w:p>
        </w:tc>
        <w:tc>
          <w:tcPr>
            <w:tcW w:w="864" w:type="dxa"/>
            <w:gridSpan w:val="7"/>
          </w:tcPr>
          <w:p>
            <w:pPr>
              <w:tabs>
                <w:tab w:val="left" w:pos="4678"/>
              </w:tabs>
              <w:spacing w:after="0" w:line="240" w:lineRule="auto"/>
              <w:rPr>
                <w:rFonts w:cs="Calibri"/>
                <w:color w:val="000000"/>
                <w:sz w:val="2"/>
                <w:szCs w:val="2"/>
              </w:rPr>
            </w:pPr>
          </w:p>
        </w:tc>
        <w:tc>
          <w:tcPr>
            <w:tcW w:w="783" w:type="dxa"/>
            <w:gridSpan w:val="8"/>
          </w:tcPr>
          <w:p>
            <w:pPr>
              <w:tabs>
                <w:tab w:val="left" w:pos="4678"/>
              </w:tabs>
              <w:spacing w:after="0" w:line="240" w:lineRule="auto"/>
              <w:rPr>
                <w:rFonts w:cs="Calibri"/>
                <w:color w:val="000000"/>
                <w:sz w:val="2"/>
                <w:szCs w:val="2"/>
              </w:rPr>
            </w:pPr>
          </w:p>
        </w:tc>
        <w:tc>
          <w:tcPr>
            <w:tcW w:w="750" w:type="dxa"/>
            <w:gridSpan w:val="7"/>
          </w:tcPr>
          <w:p>
            <w:pPr>
              <w:tabs>
                <w:tab w:val="left" w:pos="4678"/>
              </w:tabs>
              <w:spacing w:after="0" w:line="240" w:lineRule="auto"/>
              <w:rPr>
                <w:rFonts w:cs="Calibri"/>
                <w:color w:val="000000"/>
                <w:sz w:val="2"/>
                <w:szCs w:val="2"/>
              </w:rPr>
            </w:pPr>
          </w:p>
        </w:tc>
        <w:tc>
          <w:tcPr>
            <w:tcW w:w="1325" w:type="dxa"/>
            <w:gridSpan w:val="10"/>
          </w:tcPr>
          <w:p>
            <w:pPr>
              <w:tabs>
                <w:tab w:val="left" w:pos="4678"/>
              </w:tabs>
              <w:spacing w:after="0" w:line="240" w:lineRule="auto"/>
              <w:rPr>
                <w:rFonts w:cs="Calibri"/>
                <w:color w:val="000000"/>
                <w:sz w:val="2"/>
                <w:szCs w:val="2"/>
              </w:rPr>
            </w:pPr>
          </w:p>
        </w:tc>
        <w:tc>
          <w:tcPr>
            <w:tcW w:w="271" w:type="dxa"/>
            <w:gridSpan w:val="3"/>
          </w:tcPr>
          <w:p>
            <w:pPr>
              <w:tabs>
                <w:tab w:val="left" w:pos="4678"/>
              </w:tabs>
              <w:spacing w:after="0" w:line="240" w:lineRule="auto"/>
              <w:rPr>
                <w:rFonts w:cs="Calibri"/>
                <w:color w:val="000000"/>
                <w:sz w:val="2"/>
                <w:szCs w:val="2"/>
              </w:rPr>
            </w:pP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xml:space="preserve">Target </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r>
              <w:rPr>
                <w:rFonts w:cs="Calibri"/>
                <w:b/>
                <w:bCs/>
                <w:color w:val="000000"/>
                <w:sz w:val="20"/>
                <w:szCs w:val="20"/>
              </w:rPr>
              <w:t>:</w:t>
            </w:r>
          </w:p>
        </w:tc>
        <w:tc>
          <w:tcPr>
            <w:tcW w:w="1302" w:type="dxa"/>
            <w:gridSpan w:val="3"/>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5</w:t>
            </w:r>
          </w:p>
        </w:tc>
        <w:tc>
          <w:tcPr>
            <w:tcW w:w="933" w:type="dxa"/>
            <w:gridSpan w:val="5"/>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6</w:t>
            </w:r>
          </w:p>
        </w:tc>
        <w:tc>
          <w:tcPr>
            <w:tcW w:w="1028"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7</w:t>
            </w:r>
          </w:p>
        </w:tc>
        <w:tc>
          <w:tcPr>
            <w:tcW w:w="1027" w:type="dxa"/>
            <w:gridSpan w:val="7"/>
            <w:tcBorders>
              <w:top w:val="single" w:color="1F497D" w:sz="4" w:space="0"/>
              <w:left w:val="single" w:color="1F497D" w:sz="4" w:space="0"/>
              <w:bottom w:val="single" w:color="1F497D" w:sz="4" w:space="0"/>
              <w:right w:val="single" w:color="1F497D" w:sz="4" w:space="0"/>
            </w:tcBorders>
            <w:shd w:val="clear" w:color="auto" w:fill="4E6B66"/>
            <w:vAlign w:val="center"/>
          </w:tcPr>
          <w:p>
            <w:pPr>
              <w:tabs>
                <w:tab w:val="left" w:pos="4678"/>
              </w:tabs>
              <w:spacing w:after="0" w:line="240" w:lineRule="auto"/>
              <w:jc w:val="center"/>
              <w:rPr>
                <w:rFonts w:cs="Calibri"/>
                <w:b/>
                <w:color w:val="FFFFFF"/>
                <w:sz w:val="20"/>
                <w:szCs w:val="20"/>
              </w:rPr>
            </w:pPr>
            <w:r>
              <w:rPr>
                <w:rFonts w:cs="Calibri"/>
                <w:b/>
                <w:color w:val="FFFFFF"/>
                <w:sz w:val="20"/>
                <w:szCs w:val="20"/>
                <w:lang w:val="id-ID"/>
              </w:rPr>
              <w:t>201</w:t>
            </w:r>
            <w:r>
              <w:rPr>
                <w:rFonts w:cs="Calibri"/>
                <w:b/>
                <w:color w:val="FFFFFF"/>
                <w:sz w:val="20"/>
                <w:szCs w:val="20"/>
              </w:rPr>
              <w:t>8</w:t>
            </w:r>
          </w:p>
        </w:tc>
        <w:tc>
          <w:tcPr>
            <w:tcW w:w="923" w:type="dxa"/>
            <w:gridSpan w:val="5"/>
            <w:tcBorders>
              <w:top w:val="single" w:color="1F497D" w:sz="4" w:space="0"/>
              <w:left w:val="single" w:color="1F497D" w:sz="4" w:space="0"/>
              <w:bottom w:val="single" w:color="1F497D" w:sz="4" w:space="0"/>
              <w:right w:val="single" w:color="1F497D" w:sz="4" w:space="0"/>
            </w:tcBorders>
            <w:shd w:val="clear" w:color="auto" w:fill="4E6B66"/>
          </w:tcPr>
          <w:p>
            <w:pPr>
              <w:tabs>
                <w:tab w:val="left" w:pos="4678"/>
              </w:tabs>
              <w:spacing w:after="0" w:line="240" w:lineRule="auto"/>
              <w:jc w:val="center"/>
              <w:rPr>
                <w:rFonts w:cs="Calibri"/>
                <w:b/>
                <w:color w:val="FFFFFF"/>
                <w:sz w:val="20"/>
                <w:szCs w:val="20"/>
              </w:rPr>
            </w:pPr>
            <w:r>
              <w:rPr>
                <w:rFonts w:cs="Calibri"/>
                <w:b/>
                <w:color w:val="FFFFFF"/>
                <w:sz w:val="20"/>
                <w:szCs w:val="20"/>
              </w:rPr>
              <w:t>2019</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jc w:val="center"/>
              <w:rPr>
                <w:rFonts w:cs="Calibri"/>
                <w:b/>
                <w:bCs/>
                <w:color w:val="000000"/>
                <w:sz w:val="20"/>
                <w:szCs w:val="20"/>
              </w:rPr>
            </w:pPr>
          </w:p>
        </w:tc>
        <w:tc>
          <w:tcPr>
            <w:tcW w:w="994" w:type="dxa"/>
            <w:gridSpan w:val="5"/>
            <w:shd w:val="clear" w:color="auto" w:fill="FFFFFF" w:themeFill="background1"/>
            <w:vAlign w:val="center"/>
          </w:tcPr>
          <w:p>
            <w:pPr>
              <w:tabs>
                <w:tab w:val="left" w:pos="4678"/>
              </w:tabs>
              <w:spacing w:after="0" w:line="240" w:lineRule="auto"/>
              <w:jc w:val="center"/>
              <w:rPr>
                <w:rFonts w:cs="Calibri"/>
                <w:b/>
                <w:color w:val="FFFFFF"/>
                <w:sz w:val="20"/>
                <w:szCs w:val="20"/>
              </w:rPr>
            </w:pPr>
          </w:p>
        </w:tc>
        <w:tc>
          <w:tcPr>
            <w:tcW w:w="933" w:type="dxa"/>
            <w:gridSpan w:val="10"/>
            <w:shd w:val="clear" w:color="auto" w:fill="FFFFFF" w:themeFill="background1"/>
            <w:vAlign w:val="center"/>
          </w:tcPr>
          <w:p>
            <w:pPr>
              <w:tabs>
                <w:tab w:val="left" w:pos="4678"/>
              </w:tabs>
              <w:spacing w:after="0" w:line="240" w:lineRule="auto"/>
              <w:jc w:val="center"/>
              <w:rPr>
                <w:rFonts w:cs="Calibri"/>
                <w:b/>
                <w:color w:val="FFFFFF"/>
                <w:sz w:val="20"/>
                <w:szCs w:val="20"/>
              </w:rPr>
            </w:pPr>
          </w:p>
        </w:tc>
        <w:tc>
          <w:tcPr>
            <w:tcW w:w="881" w:type="dxa"/>
            <w:gridSpan w:val="7"/>
            <w:shd w:val="clear" w:color="auto" w:fill="FFFFFF" w:themeFill="background1"/>
            <w:vAlign w:val="center"/>
          </w:tcPr>
          <w:p>
            <w:pPr>
              <w:tabs>
                <w:tab w:val="left" w:pos="4678"/>
              </w:tabs>
              <w:spacing w:after="0" w:line="240" w:lineRule="auto"/>
              <w:jc w:val="center"/>
              <w:rPr>
                <w:rFonts w:cs="Calibri"/>
                <w:b/>
                <w:color w:val="FFFFFF"/>
                <w:sz w:val="20"/>
                <w:szCs w:val="20"/>
              </w:rPr>
            </w:pPr>
          </w:p>
        </w:tc>
        <w:tc>
          <w:tcPr>
            <w:tcW w:w="1028" w:type="dxa"/>
            <w:gridSpan w:val="7"/>
            <w:shd w:val="clear" w:color="auto" w:fill="FFFFFF" w:themeFill="background1"/>
            <w:vAlign w:val="center"/>
          </w:tcPr>
          <w:p>
            <w:pPr>
              <w:tabs>
                <w:tab w:val="left" w:pos="4678"/>
              </w:tabs>
              <w:spacing w:after="0" w:line="240" w:lineRule="auto"/>
              <w:jc w:val="center"/>
              <w:rPr>
                <w:rFonts w:cs="Calibri"/>
                <w:b/>
                <w:color w:val="FFFFFF"/>
                <w:sz w:val="20"/>
                <w:szCs w:val="20"/>
              </w:rPr>
            </w:pPr>
          </w:p>
        </w:tc>
        <w:tc>
          <w:tcPr>
            <w:tcW w:w="880" w:type="dxa"/>
            <w:gridSpan w:val="8"/>
            <w:shd w:val="clear" w:color="auto" w:fill="FFFFFF" w:themeFill="background1"/>
          </w:tcPr>
          <w:p>
            <w:pPr>
              <w:tabs>
                <w:tab w:val="left" w:pos="4678"/>
              </w:tabs>
              <w:spacing w:after="0" w:line="240" w:lineRule="auto"/>
              <w:jc w:val="center"/>
              <w:rPr>
                <w:rFonts w:cs="Calibri"/>
                <w:b/>
                <w:color w:val="FFFFFF"/>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tcBorders>
          </w:tcPr>
          <w:p>
            <w:pPr>
              <w:tabs>
                <w:tab w:val="left" w:pos="4678"/>
              </w:tabs>
              <w:spacing w:after="0" w:line="240" w:lineRule="auto"/>
              <w:rPr>
                <w:rFonts w:cs="Calibri"/>
                <w:color w:val="000000"/>
                <w:sz w:val="20"/>
                <w:szCs w:val="20"/>
              </w:rPr>
            </w:pPr>
            <w:r>
              <w:rPr>
                <w:rFonts w:cs="Calibri"/>
                <w:color w:val="000000"/>
                <w:sz w:val="20"/>
                <w:szCs w:val="20"/>
              </w:rPr>
              <w:t> </w:t>
            </w:r>
          </w:p>
        </w:tc>
        <w:tc>
          <w:tcPr>
            <w:tcW w:w="1890" w:type="dxa"/>
            <w:gridSpan w:val="2"/>
          </w:tcPr>
          <w:p>
            <w:pPr>
              <w:tabs>
                <w:tab w:val="left" w:pos="4678"/>
              </w:tabs>
              <w:spacing w:after="0" w:line="240" w:lineRule="auto"/>
              <w:rPr>
                <w:rFonts w:cs="Calibri"/>
                <w:b/>
                <w:bCs/>
                <w:color w:val="000000"/>
                <w:sz w:val="20"/>
                <w:szCs w:val="20"/>
              </w:rPr>
            </w:pPr>
            <w:r>
              <w:rPr>
                <w:rFonts w:cs="Calibri"/>
                <w:b/>
                <w:bCs/>
                <w:color w:val="000000"/>
                <w:sz w:val="20"/>
                <w:szCs w:val="20"/>
              </w:rPr>
              <w:t> </w:t>
            </w:r>
          </w:p>
        </w:tc>
        <w:tc>
          <w:tcPr>
            <w:tcW w:w="294" w:type="dxa"/>
            <w:gridSpan w:val="2"/>
            <w:tcBorders>
              <w:right w:val="single" w:color="1F497D" w:sz="4" w:space="0"/>
            </w:tcBorders>
          </w:tcPr>
          <w:p>
            <w:pPr>
              <w:tabs>
                <w:tab w:val="left" w:pos="4678"/>
              </w:tabs>
              <w:spacing w:after="0" w:line="240" w:lineRule="auto"/>
              <w:jc w:val="center"/>
              <w:rPr>
                <w:rFonts w:cs="Calibri"/>
                <w:b/>
                <w:bCs/>
                <w:color w:val="000000"/>
                <w:sz w:val="20"/>
                <w:szCs w:val="20"/>
              </w:rPr>
            </w:pPr>
          </w:p>
        </w:tc>
        <w:tc>
          <w:tcPr>
            <w:tcW w:w="1302" w:type="dxa"/>
            <w:gridSpan w:val="3"/>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lang w:val="id-ID"/>
              </w:rPr>
            </w:pPr>
            <w:r>
              <w:rPr>
                <w:rFonts w:cs="Arial"/>
                <w:sz w:val="20"/>
                <w:szCs w:val="20"/>
                <w:lang w:val="id-ID"/>
              </w:rPr>
              <w:t>WTP</w:t>
            </w:r>
          </w:p>
        </w:tc>
        <w:tc>
          <w:tcPr>
            <w:tcW w:w="933"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WTP</w:t>
            </w:r>
          </w:p>
        </w:tc>
        <w:tc>
          <w:tcPr>
            <w:tcW w:w="1028"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WTP</w:t>
            </w:r>
          </w:p>
        </w:tc>
        <w:tc>
          <w:tcPr>
            <w:tcW w:w="1027" w:type="dxa"/>
            <w:gridSpan w:val="7"/>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WTP</w:t>
            </w:r>
          </w:p>
        </w:tc>
        <w:tc>
          <w:tcPr>
            <w:tcW w:w="923" w:type="dxa"/>
            <w:gridSpan w:val="5"/>
            <w:tcBorders>
              <w:top w:val="single" w:color="1F497D" w:sz="4" w:space="0"/>
              <w:left w:val="single" w:color="1F497D" w:sz="4" w:space="0"/>
              <w:bottom w:val="single" w:color="1F497D" w:sz="4" w:space="0"/>
              <w:right w:val="single" w:color="1F497D" w:sz="4" w:space="0"/>
            </w:tcBorders>
            <w:shd w:val="clear" w:color="auto" w:fill="FFFFFF"/>
            <w:vAlign w:val="center"/>
          </w:tcPr>
          <w:p>
            <w:pPr>
              <w:spacing w:before="60" w:after="0" w:line="240" w:lineRule="auto"/>
              <w:jc w:val="center"/>
              <w:rPr>
                <w:rFonts w:cs="Arial"/>
                <w:sz w:val="20"/>
                <w:szCs w:val="20"/>
              </w:rPr>
            </w:pPr>
            <w:r>
              <w:rPr>
                <w:rFonts w:cs="Arial"/>
                <w:sz w:val="20"/>
                <w:szCs w:val="20"/>
                <w:lang w:val="id-ID"/>
              </w:rPr>
              <w:t>WTP</w:t>
            </w:r>
          </w:p>
        </w:tc>
        <w:tc>
          <w:tcPr>
            <w:tcW w:w="271" w:type="dxa"/>
            <w:gridSpan w:val="3"/>
            <w:tcBorders>
              <w:left w:val="single" w:color="1F497D" w:sz="4" w:space="0"/>
              <w:right w:val="single" w:color="1F497D" w:sz="4" w:space="0"/>
            </w:tcBorders>
          </w:tcPr>
          <w:p>
            <w:pPr>
              <w:tabs>
                <w:tab w:val="left" w:pos="4678"/>
              </w:tabs>
              <w:spacing w:after="0" w:line="240" w:lineRule="auto"/>
              <w:rPr>
                <w:rFonts w:cs="Calibri"/>
                <w:color w:val="000000"/>
                <w:sz w:val="20"/>
                <w:szCs w:val="20"/>
              </w:rPr>
            </w:pPr>
          </w:p>
        </w:tc>
        <w:tc>
          <w:tcPr>
            <w:tcW w:w="311" w:type="dxa"/>
            <w:gridSpan w:val="4"/>
            <w:tcBorders>
              <w:left w:val="single" w:color="1F497D" w:sz="4" w:space="0"/>
            </w:tcBorders>
          </w:tcPr>
          <w:p>
            <w:pPr>
              <w:tabs>
                <w:tab w:val="left" w:pos="4678"/>
              </w:tabs>
              <w:spacing w:after="0" w:line="240" w:lineRule="auto"/>
              <w:rPr>
                <w:rFonts w:cs="Calibri"/>
                <w:color w:val="000000"/>
                <w:sz w:val="20"/>
                <w:szCs w:val="20"/>
              </w:rPr>
            </w:pPr>
          </w:p>
        </w:tc>
        <w:tc>
          <w:tcPr>
            <w:tcW w:w="278" w:type="dxa"/>
            <w:gridSpan w:val="2"/>
          </w:tcPr>
          <w:p>
            <w:pPr>
              <w:tabs>
                <w:tab w:val="left" w:pos="4678"/>
              </w:tabs>
              <w:spacing w:after="0" w:line="240" w:lineRule="auto"/>
              <w:rPr>
                <w:rFonts w:cs="Calibri"/>
                <w:color w:val="000000"/>
                <w:sz w:val="20"/>
                <w:szCs w:val="20"/>
              </w:rPr>
            </w:pPr>
            <w:r>
              <w:rPr>
                <w:rFonts w:cs="Calibri"/>
                <w:color w:val="000000"/>
                <w:sz w:val="20"/>
                <w:szCs w:val="20"/>
              </w:rPr>
              <w:t> </w:t>
            </w:r>
          </w:p>
        </w:tc>
        <w:tc>
          <w:tcPr>
            <w:tcW w:w="1903" w:type="dxa"/>
            <w:gridSpan w:val="4"/>
          </w:tcPr>
          <w:p>
            <w:pPr>
              <w:tabs>
                <w:tab w:val="left" w:pos="4678"/>
              </w:tabs>
              <w:spacing w:after="0" w:line="240" w:lineRule="auto"/>
              <w:rPr>
                <w:rFonts w:cs="Calibri"/>
                <w:b/>
                <w:bCs/>
                <w:color w:val="000000"/>
                <w:sz w:val="20"/>
                <w:szCs w:val="20"/>
              </w:rPr>
            </w:pPr>
          </w:p>
        </w:tc>
        <w:tc>
          <w:tcPr>
            <w:tcW w:w="293" w:type="dxa"/>
            <w:gridSpan w:val="2"/>
          </w:tcPr>
          <w:p>
            <w:pPr>
              <w:tabs>
                <w:tab w:val="left" w:pos="4678"/>
              </w:tabs>
              <w:spacing w:after="0" w:line="240" w:lineRule="auto"/>
              <w:rPr>
                <w:rFonts w:cs="Calibri"/>
                <w:b/>
                <w:bCs/>
                <w:color w:val="000000"/>
                <w:sz w:val="20"/>
                <w:szCs w:val="20"/>
              </w:rPr>
            </w:pPr>
          </w:p>
        </w:tc>
        <w:tc>
          <w:tcPr>
            <w:tcW w:w="994" w:type="dxa"/>
            <w:gridSpan w:val="5"/>
            <w:shd w:val="clear" w:color="auto" w:fill="FFFFFF"/>
            <w:vAlign w:val="center"/>
          </w:tcPr>
          <w:p>
            <w:pPr>
              <w:spacing w:before="60" w:after="0" w:line="240" w:lineRule="auto"/>
              <w:jc w:val="center"/>
              <w:rPr>
                <w:rFonts w:cs="Arial"/>
                <w:sz w:val="20"/>
                <w:szCs w:val="20"/>
                <w:lang w:val="id-ID"/>
              </w:rPr>
            </w:pPr>
          </w:p>
        </w:tc>
        <w:tc>
          <w:tcPr>
            <w:tcW w:w="933" w:type="dxa"/>
            <w:gridSpan w:val="10"/>
            <w:shd w:val="clear" w:color="auto" w:fill="FFFFFF" w:themeFill="background1"/>
            <w:vAlign w:val="center"/>
          </w:tcPr>
          <w:p>
            <w:pPr>
              <w:spacing w:before="60" w:after="0" w:line="240" w:lineRule="auto"/>
              <w:jc w:val="center"/>
              <w:rPr>
                <w:rFonts w:cs="Arial"/>
                <w:sz w:val="20"/>
                <w:szCs w:val="20"/>
              </w:rPr>
            </w:pPr>
          </w:p>
        </w:tc>
        <w:tc>
          <w:tcPr>
            <w:tcW w:w="881" w:type="dxa"/>
            <w:gridSpan w:val="7"/>
            <w:shd w:val="clear" w:color="auto" w:fill="FFFFFF" w:themeFill="background1"/>
            <w:vAlign w:val="center"/>
          </w:tcPr>
          <w:p>
            <w:pPr>
              <w:spacing w:before="60" w:after="0" w:line="240" w:lineRule="auto"/>
              <w:jc w:val="center"/>
              <w:rPr>
                <w:rFonts w:cs="Arial"/>
                <w:sz w:val="20"/>
                <w:szCs w:val="20"/>
              </w:rPr>
            </w:pPr>
          </w:p>
        </w:tc>
        <w:tc>
          <w:tcPr>
            <w:tcW w:w="1028" w:type="dxa"/>
            <w:gridSpan w:val="7"/>
            <w:shd w:val="clear" w:color="auto" w:fill="FFFFFF" w:themeFill="background1"/>
            <w:vAlign w:val="center"/>
          </w:tcPr>
          <w:p>
            <w:pPr>
              <w:spacing w:before="60" w:after="0" w:line="240" w:lineRule="auto"/>
              <w:jc w:val="center"/>
              <w:rPr>
                <w:rFonts w:cs="Arial"/>
                <w:sz w:val="20"/>
                <w:szCs w:val="20"/>
              </w:rPr>
            </w:pPr>
          </w:p>
        </w:tc>
        <w:tc>
          <w:tcPr>
            <w:tcW w:w="880" w:type="dxa"/>
            <w:gridSpan w:val="8"/>
            <w:shd w:val="clear" w:color="auto" w:fill="FFFFFF" w:themeFill="background1"/>
            <w:vAlign w:val="center"/>
          </w:tcPr>
          <w:p>
            <w:pPr>
              <w:spacing w:before="60" w:after="0" w:line="240" w:lineRule="auto"/>
              <w:jc w:val="center"/>
              <w:rPr>
                <w:rFonts w:cs="Arial"/>
                <w:sz w:val="20"/>
                <w:szCs w:val="20"/>
              </w:rPr>
            </w:pPr>
          </w:p>
        </w:tc>
        <w:tc>
          <w:tcPr>
            <w:tcW w:w="271" w:type="dxa"/>
            <w:gridSpan w:val="3"/>
            <w:tcBorders>
              <w:left w:val="nil"/>
            </w:tcBorders>
          </w:tcPr>
          <w:p>
            <w:pPr>
              <w:tabs>
                <w:tab w:val="left" w:pos="4678"/>
              </w:tabs>
              <w:spacing w:after="0" w:line="240" w:lineRule="auto"/>
              <w:rPr>
                <w:rFonts w:cs="Calibri"/>
                <w:color w:val="000000"/>
                <w:sz w:val="20"/>
                <w:szCs w:val="20"/>
              </w:rPr>
            </w:pPr>
            <w:r>
              <w:rPr>
                <w:rFonts w:cs="Calibri"/>
                <w:color w:val="000000"/>
                <w:sz w:val="20"/>
                <w:szCs w:val="20"/>
              </w:rPr>
              <w:t> </w:t>
            </w:r>
          </w:p>
        </w:tc>
      </w:tr>
      <w:tr>
        <w:tblPrEx>
          <w:tblLayout w:type="fixed"/>
          <w:tblCellMar>
            <w:top w:w="0" w:type="dxa"/>
            <w:left w:w="108" w:type="dxa"/>
            <w:bottom w:w="0" w:type="dxa"/>
            <w:right w:w="108" w:type="dxa"/>
          </w:tblCellMar>
        </w:tblPrEx>
        <w:trPr>
          <w:gridBefore w:val="1"/>
          <w:wBefore w:w="5" w:type="dxa"/>
          <w:trHeight w:val="20" w:hRule="atLeast"/>
          <w:jc w:val="center"/>
        </w:trPr>
        <w:tc>
          <w:tcPr>
            <w:tcW w:w="278" w:type="dxa"/>
            <w:gridSpan w:val="2"/>
            <w:tcBorders>
              <w:left w:val="single" w:color="1F497D" w:sz="4" w:space="0"/>
              <w:bottom w:val="single" w:color="1F497D" w:sz="4" w:space="0"/>
            </w:tcBorders>
          </w:tcPr>
          <w:p>
            <w:pPr>
              <w:tabs>
                <w:tab w:val="left" w:pos="4678"/>
              </w:tabs>
              <w:spacing w:after="0" w:line="240" w:lineRule="auto"/>
              <w:rPr>
                <w:rFonts w:cs="Calibri"/>
                <w:color w:val="000000"/>
                <w:sz w:val="2"/>
                <w:szCs w:val="18"/>
              </w:rPr>
            </w:pPr>
            <w:r>
              <w:rPr>
                <w:rFonts w:cs="Calibri"/>
                <w:color w:val="000000"/>
                <w:sz w:val="2"/>
                <w:szCs w:val="18"/>
              </w:rPr>
              <w:t> </w:t>
            </w:r>
          </w:p>
        </w:tc>
        <w:tc>
          <w:tcPr>
            <w:tcW w:w="7397" w:type="dxa"/>
            <w:gridSpan w:val="31"/>
            <w:tcBorders>
              <w:bottom w:val="single" w:color="1F497D" w:sz="4" w:space="0"/>
            </w:tcBorders>
          </w:tcPr>
          <w:p>
            <w:pPr>
              <w:tabs>
                <w:tab w:val="left" w:pos="4678"/>
              </w:tabs>
              <w:spacing w:after="0" w:line="240" w:lineRule="auto"/>
              <w:rPr>
                <w:rFonts w:cs="Calibri"/>
                <w:color w:val="000000"/>
                <w:sz w:val="2"/>
                <w:szCs w:val="18"/>
              </w:rPr>
            </w:pPr>
          </w:p>
          <w:p>
            <w:pPr>
              <w:tabs>
                <w:tab w:val="left" w:pos="4678"/>
              </w:tabs>
              <w:spacing w:after="0" w:line="240" w:lineRule="auto"/>
              <w:rPr>
                <w:rFonts w:cs="Calibri"/>
                <w:color w:val="000000"/>
                <w:sz w:val="2"/>
                <w:szCs w:val="18"/>
              </w:rPr>
            </w:pPr>
          </w:p>
        </w:tc>
        <w:tc>
          <w:tcPr>
            <w:tcW w:w="271" w:type="dxa"/>
            <w:gridSpan w:val="3"/>
            <w:tcBorders>
              <w:bottom w:val="single" w:color="1F497D" w:sz="4" w:space="0"/>
              <w:right w:val="single" w:color="1F497D" w:sz="4" w:space="0"/>
            </w:tcBorders>
          </w:tcPr>
          <w:p>
            <w:pPr>
              <w:tabs>
                <w:tab w:val="left" w:pos="4678"/>
              </w:tabs>
              <w:spacing w:after="0" w:line="240" w:lineRule="auto"/>
              <w:rPr>
                <w:rFonts w:cs="Calibri"/>
                <w:color w:val="000000"/>
                <w:sz w:val="2"/>
                <w:szCs w:val="18"/>
              </w:rPr>
            </w:pPr>
          </w:p>
        </w:tc>
        <w:tc>
          <w:tcPr>
            <w:tcW w:w="311" w:type="dxa"/>
            <w:gridSpan w:val="4"/>
            <w:tcBorders>
              <w:left w:val="single" w:color="1F497D" w:sz="4" w:space="0"/>
            </w:tcBorders>
          </w:tcPr>
          <w:p>
            <w:pPr>
              <w:tabs>
                <w:tab w:val="left" w:pos="4678"/>
              </w:tabs>
              <w:spacing w:after="0" w:line="240" w:lineRule="auto"/>
              <w:rPr>
                <w:rFonts w:ascii="Times New Roman" w:hAnsi="Times New Roman"/>
                <w:color w:val="000000"/>
                <w:sz w:val="2"/>
                <w:szCs w:val="18"/>
              </w:rPr>
            </w:pPr>
            <w:r>
              <w:rPr>
                <w:rFonts w:ascii="Times New Roman" w:hAnsi="Times New Roman"/>
                <w:color w:val="000000"/>
                <w:sz w:val="2"/>
                <w:szCs w:val="18"/>
              </w:rPr>
              <w:t> </w:t>
            </w:r>
          </w:p>
        </w:tc>
        <w:tc>
          <w:tcPr>
            <w:tcW w:w="278" w:type="dxa"/>
            <w:gridSpan w:val="2"/>
          </w:tcPr>
          <w:p>
            <w:pPr>
              <w:tabs>
                <w:tab w:val="left" w:pos="4678"/>
              </w:tabs>
              <w:spacing w:after="0" w:line="240" w:lineRule="auto"/>
              <w:rPr>
                <w:rFonts w:cs="Calibri"/>
                <w:color w:val="000000"/>
                <w:sz w:val="2"/>
                <w:szCs w:val="18"/>
              </w:rPr>
            </w:pPr>
          </w:p>
        </w:tc>
        <w:tc>
          <w:tcPr>
            <w:tcW w:w="6912" w:type="dxa"/>
            <w:gridSpan w:val="43"/>
          </w:tcPr>
          <w:p>
            <w:pPr>
              <w:tabs>
                <w:tab w:val="left" w:pos="4678"/>
              </w:tabs>
              <w:spacing w:after="0" w:line="240" w:lineRule="auto"/>
              <w:rPr>
                <w:rFonts w:cs="Calibri"/>
                <w:color w:val="000000"/>
                <w:sz w:val="2"/>
                <w:szCs w:val="18"/>
              </w:rPr>
            </w:pPr>
          </w:p>
        </w:tc>
        <w:tc>
          <w:tcPr>
            <w:tcW w:w="271" w:type="dxa"/>
            <w:gridSpan w:val="3"/>
          </w:tcPr>
          <w:p>
            <w:pPr>
              <w:tabs>
                <w:tab w:val="left" w:pos="4678"/>
              </w:tabs>
              <w:spacing w:after="0" w:line="240" w:lineRule="auto"/>
              <w:rPr>
                <w:rFonts w:cs="Calibri"/>
                <w:color w:val="000000"/>
                <w:sz w:val="2"/>
                <w:szCs w:val="18"/>
              </w:rPr>
            </w:pPr>
          </w:p>
        </w:tc>
      </w:tr>
    </w:tbl>
    <w:p>
      <w:bookmarkStart w:id="85" w:name="_GoBack"/>
      <w:bookmarkEnd w:id="85"/>
    </w:p>
    <w:sectPr>
      <w:type w:val="continuous"/>
      <w:pgSz w:w="16839" w:h="11907" w:orient="landscape"/>
      <w:pgMar w:top="1440" w:right="1440" w:bottom="1440" w:left="1440" w:header="720" w:footer="32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0"/>
    <w:family w:val="swiss"/>
    <w:pitch w:val="default"/>
    <w:sig w:usb0="FFFFFFFF" w:usb1="E9FFFFFF" w:usb2="0000003F" w:usb3="00000000" w:csb0="603F01FF" w:csb1="FFFF0000"/>
  </w:font>
  <w:font w:name="Philosopher">
    <w:altName w:val="Cambria"/>
    <w:panose1 w:val="00000000000000000000"/>
    <w:charset w:val="00"/>
    <w:family w:val="swiss"/>
    <w:pitch w:val="default"/>
    <w:sig w:usb0="00000000" w:usb1="00000000" w:usb2="00000000" w:usb3="00000000" w:csb0="00000001" w:csb1="00000000"/>
  </w:font>
  <w:font w:name="Berlin Sans FB Demi">
    <w:panose1 w:val="020E0802020502020306"/>
    <w:charset w:val="00"/>
    <w:family w:val="swiss"/>
    <w:pitch w:val="default"/>
    <w:sig w:usb0="00000003" w:usb1="00000000" w:usb2="00000000" w:usb3="00000000" w:csb0="20000001" w:csb1="00000000"/>
  </w:font>
  <w:font w:name="Berlin Sans FB">
    <w:panose1 w:val="020E0602020502020306"/>
    <w:charset w:val="00"/>
    <w:family w:val="swiss"/>
    <w:pitch w:val="default"/>
    <w:sig w:usb0="00000003" w:usb1="00000000" w:usb2="00000000" w:usb3="00000000" w:csb0="20000001" w:csb1="00000000"/>
  </w:font>
  <w:font w:name="ＭＳ 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1"/>
    <w:family w:val="auto"/>
    <w:pitch w:val="default"/>
    <w:sig w:usb0="E0002A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imes">
    <w:altName w:val="Sylfaen"/>
    <w:panose1 w:val="02020603050405020304"/>
    <w:charset w:val="00"/>
    <w:family w:val="roman"/>
    <w:pitch w:val="default"/>
    <w:sig w:usb0="00000000" w:usb1="00000000" w:usb2="00000009" w:usb3="00000000" w:csb0="000001FF" w:csb1="00000000"/>
  </w:font>
  <w:font w:name="Helvetica">
    <w:altName w:val="Sylfaen"/>
    <w:panose1 w:val="020B0504020202020204"/>
    <w:charset w:val="00"/>
    <w:family w:val="swiss"/>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szCs w:val="28"/>
      </w:rPr>
    </w:pPr>
    <w:r>
      <w:rPr>
        <w:lang w:val="id-ID" w:eastAsia="id-ID"/>
      </w:rPr>
      <mc:AlternateContent>
        <mc:Choice Requires="wpg">
          <w:drawing>
            <wp:anchor distT="0" distB="0" distL="114300" distR="114300" simplePos="0" relativeHeight="251671552" behindDoc="0" locked="0" layoutInCell="1" allowOverlap="1">
              <wp:simplePos x="0" y="0"/>
              <wp:positionH relativeFrom="margin">
                <wp:posOffset>0</wp:posOffset>
              </wp:positionH>
              <wp:positionV relativeFrom="page">
                <wp:posOffset>6629400</wp:posOffset>
              </wp:positionV>
              <wp:extent cx="8570595" cy="468630"/>
              <wp:effectExtent l="0" t="0" r="1905" b="0"/>
              <wp:wrapNone/>
              <wp:docPr id="57" name="Group 5"/>
              <wp:cNvGraphicFramePr/>
              <a:graphic xmlns:a="http://schemas.openxmlformats.org/drawingml/2006/main">
                <a:graphicData uri="http://schemas.microsoft.com/office/word/2010/wordprocessingGroup">
                  <wpg:wgp>
                    <wpg:cNvGrpSpPr/>
                    <wpg:grpSpPr>
                      <a:xfrm>
                        <a:off x="0" y="0"/>
                        <a:ext cx="8570595" cy="468630"/>
                        <a:chOff x="0" y="831"/>
                        <a:chExt cx="85705" cy="4686"/>
                      </a:xfrm>
                    </wpg:grpSpPr>
                    <wpg:grpSp>
                      <wpg:cNvPr id="58" name="Group 2"/>
                      <wpg:cNvGrpSpPr/>
                      <wpg:grpSpPr>
                        <a:xfrm>
                          <a:off x="0" y="1266"/>
                          <a:ext cx="85705" cy="2970"/>
                          <a:chOff x="0" y="1266"/>
                          <a:chExt cx="85705" cy="2969"/>
                        </a:xfrm>
                      </wpg:grpSpPr>
                      <wps:wsp>
                        <wps:cNvPr id="59" name="Rounded Rectangle 1"/>
                        <wps:cNvSpPr/>
                        <wps:spPr bwMode="auto">
                          <a:xfrm>
                            <a:off x="0" y="1266"/>
                            <a:ext cx="85705" cy="2939"/>
                          </a:xfrm>
                          <a:prstGeom prst="roundRect">
                            <a:avLst>
                              <a:gd name="adj" fmla="val 16667"/>
                            </a:avLst>
                          </a:prstGeom>
                          <a:gradFill rotWithShape="1">
                            <a:gsLst>
                              <a:gs pos="0">
                                <a:srgbClr val="97C9B6"/>
                              </a:gs>
                              <a:gs pos="50000">
                                <a:srgbClr val="C1DCD1"/>
                              </a:gs>
                              <a:gs pos="100000">
                                <a:srgbClr val="E1EDE8"/>
                              </a:gs>
                            </a:gsLst>
                            <a:lin ang="0" scaled="1"/>
                          </a:gradFill>
                          <a:ln>
                            <a:noFill/>
                          </a:ln>
                        </wps:spPr>
                        <wps:txb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wps:txbx>
                        <wps:bodyPr rot="0" vert="horz" wrap="square" lIns="91440" tIns="45720" rIns="91440" bIns="45720" anchor="ctr" anchorCtr="0" upright="1">
                          <a:noAutofit/>
                        </wps:bodyPr>
                      </wps:wsp>
                      <wps:wsp>
                        <wps:cNvPr id="60" name="Text Box 9"/>
                        <wps:cNvSpPr txBox="1"/>
                        <wps:spPr bwMode="auto">
                          <a:xfrm>
                            <a:off x="67197" y="1594"/>
                            <a:ext cx="17850" cy="2642"/>
                          </a:xfrm>
                          <a:prstGeom prst="rect">
                            <a:avLst/>
                          </a:prstGeom>
                          <a:noFill/>
                          <a:ln>
                            <a:noFill/>
                          </a:ln>
                        </wps:spPr>
                        <wps:txbx>
                          <w:txbxContent>
                            <w:p>
                              <w:pPr>
                                <w:pStyle w:val="14"/>
                                <w:pBdr>
                                  <w:bottom w:val="single" w:color="D9D9D9" w:sz="4" w:space="1"/>
                                </w:pBdr>
                                <w:jc w:val="right"/>
                                <w:rPr>
                                  <w:b/>
                                  <w:bCs/>
                                  <w:lang w:val="id-ID"/>
                                </w:rPr>
                              </w:pPr>
                              <w:r>
                                <w:rPr>
                                  <w:color w:val="7F7F7F"/>
                                  <w:spacing w:val="60"/>
                                </w:rPr>
                                <w:t>Halaman</w:t>
                              </w:r>
                              <w:r>
                                <w:t xml:space="preserve"> | </w:t>
                              </w:r>
                              <w:r>
                                <w:rPr>
                                  <w:lang w:val="id-ID"/>
                                </w:rPr>
                                <w:t>i</w:t>
                              </w:r>
                            </w:p>
                            <w:p/>
                          </w:txbxContent>
                        </wps:txbx>
                        <wps:bodyPr rot="0" vert="horz" wrap="square" lIns="91440" tIns="45720" rIns="91440" bIns="45720" anchor="t" anchorCtr="0" upright="1">
                          <a:noAutofit/>
                        </wps:bodyPr>
                      </wps:wsp>
                    </wpg:grpSp>
                    <wpg:grpSp>
                      <wpg:cNvPr id="61" name="Group 4"/>
                      <wpg:cNvGrpSpPr/>
                      <wpg:grpSpPr>
                        <a:xfrm>
                          <a:off x="1662" y="831"/>
                          <a:ext cx="18104" cy="4686"/>
                          <a:chOff x="0" y="0"/>
                          <a:chExt cx="18107" cy="4690"/>
                        </a:xfrm>
                      </wpg:grpSpPr>
                      <pic:pic xmlns:pic="http://schemas.openxmlformats.org/drawingml/2006/picture">
                        <pic:nvPicPr>
                          <pic:cNvPr id="62" name="Picture 292" descr="downloa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2469" y="0"/>
                            <a:ext cx="5638" cy="4572"/>
                          </a:xfrm>
                          <a:prstGeom prst="rect">
                            <a:avLst/>
                          </a:prstGeom>
                          <a:noFill/>
                        </pic:spPr>
                      </pic:pic>
                      <pic:pic xmlns:pic="http://schemas.openxmlformats.org/drawingml/2006/picture">
                        <pic:nvPicPr>
                          <pic:cNvPr id="63" name="Picture 293" descr="download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7006" y="118"/>
                            <a:ext cx="4229" cy="4572"/>
                          </a:xfrm>
                          <a:prstGeom prst="rect">
                            <a:avLst/>
                          </a:prstGeom>
                          <a:noFill/>
                        </pic:spPr>
                      </pic:pic>
                      <pic:pic xmlns:pic="http://schemas.openxmlformats.org/drawingml/2006/picture">
                        <pic:nvPicPr>
                          <pic:cNvPr id="256" name="Picture 294" descr="download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118"/>
                            <a:ext cx="5651" cy="4572"/>
                          </a:xfrm>
                          <a:prstGeom prst="rect">
                            <a:avLst/>
                          </a:prstGeom>
                          <a:noFill/>
                        </pic:spPr>
                      </pic:pic>
                    </wpg:grpSp>
                  </wpg:wgp>
                </a:graphicData>
              </a:graphic>
            </wp:anchor>
          </w:drawing>
        </mc:Choice>
        <mc:Fallback>
          <w:pict>
            <v:group id="Group 5" o:spid="_x0000_s1026" o:spt="203" style="position:absolute;left:0pt;margin-left:0pt;margin-top:522pt;height:36.9pt;width:674.85pt;mso-position-horizontal-relative:margin;mso-position-vertical-relative:page;z-index:251671552;mso-width-relative:page;mso-height-relative:page;" coordorigin="0,831" coordsize="85705,4686" o:gfxdata="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">
              <o:lock v:ext="edit" aspectratio="f"/>
              <v:group id="Group 2" o:spid="_x0000_s1026" o:spt="203" style="position:absolute;left:0;top:1266;height:2970;width:85705;" coordorigin="0,1266" coordsize="85705,2969"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roundrect id="Rounded Rectangle 1" o:spid="_x0000_s1026" o:spt="2" style="position:absolute;left:0;top:1266;height:2939;width:85705;v-text-anchor:middle;" fillcolor="#97C9B6" filled="t" stroked="f" coordsize="21600,21600" arcsize="0.166666666666667" o:gfxdata="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F++bsAAADb&#10;AAAADwAAAAAAAAABACAAAAAiAAAAZHJzL2Rvd25yZXYueG1sUEsBAhQAFAAAAAgAh07iQDMvBZ47&#10;AAAAOQAAABAAAAAAAAAAAQAgAAAACgEAAGRycy9zaGFwZXhtbC54bWxQSwUGAAAAAAYABgBbAQAA&#10;tAMAAAAA&#10;">
                  <v:fill type="gradient" on="t" color2="#E1EDE8" colors="0f #97C9B6;32768f #C1DCD1;65536f #E1EDE8" angle="90" focus="100%" focussize="0,0" rotate="t"/>
                  <v:stroke on="f"/>
                  <v:imagedata o:title=""/>
                  <o:lock v:ext="edit" aspectratio="f"/>
                  <v:textbo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v:textbox>
                </v:roundrect>
                <v:shape id="Text Box 9" o:spid="_x0000_s1026" o:spt="202" type="#_x0000_t202" style="position:absolute;left:67197;top:1594;height:2642;width:17850;"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4"/>
                          <w:pBdr>
                            <w:bottom w:val="single" w:color="D9D9D9" w:sz="4" w:space="1"/>
                          </w:pBdr>
                          <w:jc w:val="right"/>
                          <w:rPr>
                            <w:b/>
                            <w:bCs/>
                            <w:lang w:val="id-ID"/>
                          </w:rPr>
                        </w:pPr>
                        <w:r>
                          <w:rPr>
                            <w:color w:val="7F7F7F"/>
                            <w:spacing w:val="60"/>
                          </w:rPr>
                          <w:t>Halaman</w:t>
                        </w:r>
                        <w:r>
                          <w:t xml:space="preserve"> | </w:t>
                        </w:r>
                        <w:r>
                          <w:rPr>
                            <w:lang w:val="id-ID"/>
                          </w:rPr>
                          <w:t>i</w:t>
                        </w:r>
                      </w:p>
                      <w:p/>
                    </w:txbxContent>
                  </v:textbox>
                </v:shape>
              </v:group>
              <v:group id="Group 4" o:spid="_x0000_s1026" o:spt="203" style="position:absolute;left:1662;top:831;height:4686;width:18104;" coordsize="18107,469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Picture 292" o:spid="_x0000_s1026" o:spt="75" alt="download (5)" type="#_x0000_t75" style="position:absolute;left:12469;top:0;height:4572;width:5638;" filled="f" o:preferrelative="t" stroked="f" coordsize="21600,21600" o:gfxdata="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Mk68AAAA&#10;2wAAAA8AAAAAAAAAAQAgAAAAIgAAAGRycy9kb3ducmV2LnhtbFBLAQIUABQAAAAIAIdO4kAzLwWe&#10;OwAAADkAAAAQAAAAAAAAAAEAIAAAAAsBAABkcnMvc2hhcGV4bWwueG1sUEsFBgAAAAAGAAYAWwEA&#10;ALUDAAAAAA==&#10;">
                  <v:fill on="f" focussize="0,0"/>
                  <v:stroke on="f"/>
                  <v:imagedata r:id="rId1" o:title=""/>
                  <o:lock v:ext="edit" aspectratio="t"/>
                </v:shape>
                <v:shape id="Picture 293" o:spid="_x0000_s1026" o:spt="75" alt="download (4)" type="#_x0000_t75" style="position:absolute;left:7006;top:118;height:4572;width:4229;" filled="f" o:preferrelative="t" stroked="f" coordsize="21600,21600" o:gfxdata="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RKz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Picture 294" o:spid="_x0000_s1026" o:spt="75" alt="download (3)" type="#_x0000_t75" style="position:absolute;left:0;top:118;height:4572;width:5651;" filled="f" o:preferrelative="t" stroked="f" coordsize="21600,21600" o:gfxdata="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OmLO5AAAA3AAA&#10;AA8AAAAAAAAAAQAgAAAAIgAAAGRycy9kb3ducmV2LnhtbFBLAQIUABQAAAAIAIdO4kAzLwWeOwAA&#10;ADkAAAAQAAAAAAAAAAEAIAAAAAgBAABkcnMvc2hhcGV4bWwueG1sUEsFBgAAAAAGAAYAWwEAALID&#10;AAAAAA==&#10;">
                  <v:fill on="f" focussize="0,0"/>
                  <v:stroke on="f"/>
                  <v:imagedata r:id="rId3" o:title=""/>
                  <o:lock v:ext="edit" aspectratio="t"/>
                </v:shape>
              </v:group>
            </v:group>
          </w:pict>
        </mc:Fallback>
      </mc:AlternateContent>
    </w:r>
    <w:r>
      <w:tab/>
    </w:r>
    <w:r>
      <w:tab/>
    </w:r>
    <w:r>
      <w:tab/>
    </w:r>
  </w:p>
  <w:p>
    <w:pPr>
      <w:pStyle w:val="12"/>
      <w:tabs>
        <w:tab w:val="left" w:pos="10393"/>
        <w:tab w:val="clear" w:pos="4680"/>
        <w:tab w:val="clear" w:pos="9360"/>
      </w:tabs>
    </w:pPr>
    <w:r>
      <w:tab/>
    </w:r>
  </w:p>
  <w:p>
    <w:pPr>
      <w:rPr>
        <w:sz w:val="36"/>
      </w:rPr>
    </w:pPr>
    <w:r>
      <w:rPr>
        <w:lang w:val="id-ID" w:eastAsia="id-ID"/>
      </w:rPr>
      <mc:AlternateContent>
        <mc:Choice Requires="wpg">
          <w:drawing>
            <wp:anchor distT="0" distB="0" distL="114300" distR="114300" simplePos="0" relativeHeight="251661312" behindDoc="0" locked="0" layoutInCell="1" allowOverlap="1">
              <wp:simplePos x="0" y="0"/>
              <wp:positionH relativeFrom="margin">
                <wp:posOffset>0</wp:posOffset>
              </wp:positionH>
              <wp:positionV relativeFrom="page">
                <wp:posOffset>6629400</wp:posOffset>
              </wp:positionV>
              <wp:extent cx="8570595" cy="468630"/>
              <wp:effectExtent l="0" t="0" r="1905" b="0"/>
              <wp:wrapNone/>
              <wp:docPr id="39" name="Group 5"/>
              <wp:cNvGraphicFramePr/>
              <a:graphic xmlns:a="http://schemas.openxmlformats.org/drawingml/2006/main">
                <a:graphicData uri="http://schemas.microsoft.com/office/word/2010/wordprocessingGroup">
                  <wpg:wgp>
                    <wpg:cNvGrpSpPr/>
                    <wpg:grpSpPr>
                      <a:xfrm>
                        <a:off x="0" y="0"/>
                        <a:ext cx="8570595" cy="468630"/>
                        <a:chOff x="0" y="831"/>
                        <a:chExt cx="85705" cy="4686"/>
                      </a:xfrm>
                    </wpg:grpSpPr>
                    <wpg:grpSp>
                      <wpg:cNvPr id="40" name="Group 2"/>
                      <wpg:cNvGrpSpPr/>
                      <wpg:grpSpPr>
                        <a:xfrm>
                          <a:off x="0" y="1266"/>
                          <a:ext cx="85705" cy="2970"/>
                          <a:chOff x="0" y="1266"/>
                          <a:chExt cx="85705" cy="2969"/>
                        </a:xfrm>
                      </wpg:grpSpPr>
                      <wps:wsp>
                        <wps:cNvPr id="41" name="Rounded Rectangle 1"/>
                        <wps:cNvSpPr/>
                        <wps:spPr bwMode="auto">
                          <a:xfrm>
                            <a:off x="0" y="1266"/>
                            <a:ext cx="85705" cy="2939"/>
                          </a:xfrm>
                          <a:prstGeom prst="roundRect">
                            <a:avLst>
                              <a:gd name="adj" fmla="val 16667"/>
                            </a:avLst>
                          </a:prstGeom>
                          <a:gradFill rotWithShape="1">
                            <a:gsLst>
                              <a:gs pos="0">
                                <a:srgbClr val="97C9B6"/>
                              </a:gs>
                              <a:gs pos="50000">
                                <a:srgbClr val="C1DCD1"/>
                              </a:gs>
                              <a:gs pos="100000">
                                <a:srgbClr val="E1EDE8"/>
                              </a:gs>
                            </a:gsLst>
                            <a:lin ang="0" scaled="1"/>
                          </a:gradFill>
                          <a:ln>
                            <a:noFill/>
                          </a:ln>
                        </wps:spPr>
                        <wps:txbx>
                          <w:txbxContent>
                            <w:p>
                              <w:pPr>
                                <w:spacing w:after="0"/>
                                <w:jc w:val="center"/>
                                <w:rPr>
                                  <w:rFonts w:ascii="Berlin Sans FB" w:hAnsi="Berlin Sans FB"/>
                                  <w:color w:val="4A442A"/>
                                  <w:lang w:val="id-ID"/>
                                </w:rPr>
                              </w:pPr>
                              <w:r>
                                <w:rPr>
                                  <w:rFonts w:ascii="Berlin Sans FB" w:hAnsi="Berlin Sans FB"/>
                                  <w:color w:val="4A442A"/>
                                </w:rPr>
                                <w:t>Rencana Strategis Bisnis RSHS-PMN RSMC-FKUP</w:t>
                              </w:r>
                            </w:p>
                          </w:txbxContent>
                        </wps:txbx>
                        <wps:bodyPr rot="0" vert="horz" wrap="square" lIns="91440" tIns="45720" rIns="91440" bIns="45720" anchor="ctr" anchorCtr="0" upright="1">
                          <a:noAutofit/>
                        </wps:bodyPr>
                      </wps:wsp>
                      <wps:wsp>
                        <wps:cNvPr id="42" name="Text Box 9"/>
                        <wps:cNvSpPr txBox="1"/>
                        <wps:spPr bwMode="auto">
                          <a:xfrm>
                            <a:off x="67197" y="1594"/>
                            <a:ext cx="17850" cy="2642"/>
                          </a:xfrm>
                          <a:prstGeom prst="rect">
                            <a:avLst/>
                          </a:prstGeom>
                          <a:noFill/>
                          <a:ln>
                            <a:noFill/>
                          </a:ln>
                        </wps:spPr>
                        <wps:txbx>
                          <w:txbxContent>
                            <w:p>
                              <w:pPr>
                                <w:pStyle w:val="14"/>
                                <w:pBdr>
                                  <w:bottom w:val="single" w:color="D9D9D9" w:sz="4" w:space="1"/>
                                </w:pBdr>
                                <w:jc w:val="right"/>
                                <w:rPr>
                                  <w:b/>
                                  <w:bCs/>
                                  <w:lang w:val="id-ID"/>
                                </w:rPr>
                              </w:pPr>
                              <w:r>
                                <w:rPr>
                                  <w:color w:val="7F7F7F"/>
                                  <w:spacing w:val="60"/>
                                </w:rPr>
                                <w:t>Halaman</w:t>
                              </w:r>
                              <w:r>
                                <w:t xml:space="preserve"> | </w:t>
                              </w:r>
                              <w:r>
                                <w:rPr>
                                  <w:lang w:val="id-ID"/>
                                </w:rPr>
                                <w:t>i</w:t>
                              </w:r>
                            </w:p>
                            <w:p/>
                          </w:txbxContent>
                        </wps:txbx>
                        <wps:bodyPr rot="0" vert="horz" wrap="square" lIns="91440" tIns="45720" rIns="91440" bIns="45720" anchor="t" anchorCtr="0" upright="1">
                          <a:noAutofit/>
                        </wps:bodyPr>
                      </wps:wsp>
                    </wpg:grpSp>
                    <wpg:grpSp>
                      <wpg:cNvPr id="43" name="Group 4"/>
                      <wpg:cNvGrpSpPr/>
                      <wpg:grpSpPr>
                        <a:xfrm>
                          <a:off x="1662" y="831"/>
                          <a:ext cx="18104" cy="4686"/>
                          <a:chOff x="0" y="0"/>
                          <a:chExt cx="18107" cy="4690"/>
                        </a:xfrm>
                      </wpg:grpSpPr>
                      <pic:pic xmlns:pic="http://schemas.openxmlformats.org/drawingml/2006/picture">
                        <pic:nvPicPr>
                          <pic:cNvPr id="44" name="Picture 292" descr="downloa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2469" y="0"/>
                            <a:ext cx="5638" cy="4572"/>
                          </a:xfrm>
                          <a:prstGeom prst="rect">
                            <a:avLst/>
                          </a:prstGeom>
                          <a:noFill/>
                        </pic:spPr>
                      </pic:pic>
                      <pic:pic xmlns:pic="http://schemas.openxmlformats.org/drawingml/2006/picture">
                        <pic:nvPicPr>
                          <pic:cNvPr id="45" name="Picture 293" descr="download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7006" y="118"/>
                            <a:ext cx="4229" cy="4572"/>
                          </a:xfrm>
                          <a:prstGeom prst="rect">
                            <a:avLst/>
                          </a:prstGeom>
                          <a:noFill/>
                        </pic:spPr>
                      </pic:pic>
                      <pic:pic xmlns:pic="http://schemas.openxmlformats.org/drawingml/2006/picture">
                        <pic:nvPicPr>
                          <pic:cNvPr id="46" name="Picture 294" descr="download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118"/>
                            <a:ext cx="5651" cy="4572"/>
                          </a:xfrm>
                          <a:prstGeom prst="rect">
                            <a:avLst/>
                          </a:prstGeom>
                          <a:noFill/>
                        </pic:spPr>
                      </pic:pic>
                    </wpg:grpSp>
                  </wpg:wgp>
                </a:graphicData>
              </a:graphic>
            </wp:anchor>
          </w:drawing>
        </mc:Choice>
        <mc:Fallback>
          <w:pict>
            <v:group id="Group 5" o:spid="_x0000_s1026" o:spt="203" style="position:absolute;left:0pt;margin-left:0pt;margin-top:522pt;height:36.9pt;width:674.85pt;mso-position-horizontal-relative:margin;mso-position-vertical-relative:page;z-index:251661312;mso-width-relative:page;mso-height-relative:page;" coordorigin="0,831" coordsize="85705,4686" o:gfxdata="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">
              <o:lock v:ext="edit" aspectratio="f"/>
              <v:group id="Group 2" o:spid="_x0000_s1026" o:spt="203" style="position:absolute;left:0;top:1266;height:2970;width:85705;" coordorigin="0,1266" coordsize="85705,2969"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oundrect id="Rounded Rectangle 1" o:spid="_x0000_s1026" o:spt="2" style="position:absolute;left:0;top:1266;height:2939;width:85705;v-text-anchor:middle;" fillcolor="#97C9B6" filled="t" stroked="f" coordsize="21600,21600" arcsize="0.166666666666667" o:gfxdata="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7kIrsAAADb&#10;AAAADwAAAAAAAAABACAAAAAiAAAAZHJzL2Rvd25yZXYueG1sUEsBAhQAFAAAAAgAh07iQDMvBZ47&#10;AAAAOQAAABAAAAAAAAAAAQAgAAAACgEAAGRycy9zaGFwZXhtbC54bWxQSwUGAAAAAAYABgBbAQAA&#10;tAMAAAAA&#10;">
                  <v:fill type="gradient" on="t" color2="#E1EDE8" colors="0f #97C9B6;32768f #C1DCD1;65536f #E1EDE8" angle="90" focus="100%" focussize="0,0" rotate="t"/>
                  <v:stroke on="f"/>
                  <v:imagedata o:title=""/>
                  <o:lock v:ext="edit" aspectratio="f"/>
                  <v:textbox>
                    <w:txbxContent>
                      <w:p>
                        <w:pPr>
                          <w:spacing w:after="0"/>
                          <w:jc w:val="center"/>
                          <w:rPr>
                            <w:rFonts w:ascii="Berlin Sans FB" w:hAnsi="Berlin Sans FB"/>
                            <w:color w:val="4A442A"/>
                            <w:lang w:val="id-ID"/>
                          </w:rPr>
                        </w:pPr>
                        <w:r>
                          <w:rPr>
                            <w:rFonts w:ascii="Berlin Sans FB" w:hAnsi="Berlin Sans FB"/>
                            <w:color w:val="4A442A"/>
                          </w:rPr>
                          <w:t>Rencana Strategis Bisnis RSHS-PMN RSMC-FKUP</w:t>
                        </w:r>
                      </w:p>
                    </w:txbxContent>
                  </v:textbox>
                </v:roundrect>
                <v:shape id="Text Box 9" o:spid="_x0000_s1026" o:spt="202" type="#_x0000_t202" style="position:absolute;left:67197;top:1594;height:2642;width:17850;"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4"/>
                          <w:pBdr>
                            <w:bottom w:val="single" w:color="D9D9D9" w:sz="4" w:space="1"/>
                          </w:pBdr>
                          <w:jc w:val="right"/>
                          <w:rPr>
                            <w:b/>
                            <w:bCs/>
                            <w:lang w:val="id-ID"/>
                          </w:rPr>
                        </w:pPr>
                        <w:r>
                          <w:rPr>
                            <w:color w:val="7F7F7F"/>
                            <w:spacing w:val="60"/>
                          </w:rPr>
                          <w:t>Halaman</w:t>
                        </w:r>
                        <w:r>
                          <w:t xml:space="preserve"> | </w:t>
                        </w:r>
                        <w:r>
                          <w:rPr>
                            <w:lang w:val="id-ID"/>
                          </w:rPr>
                          <w:t>i</w:t>
                        </w:r>
                      </w:p>
                      <w:p/>
                    </w:txbxContent>
                  </v:textbox>
                </v:shape>
              </v:group>
              <v:group id="Group 4" o:spid="_x0000_s1026" o:spt="203" style="position:absolute;left:1662;top:831;height:4686;width:18104;" coordsize="18107,469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Picture 292" o:spid="_x0000_s1026" o:spt="75" alt="download (5)" type="#_x0000_t75" style="position:absolute;left:12469;top:0;height:4572;width:5638;" filled="f" o:preferrelative="t" stroked="f" coordsize="21600,21600" o:gfxdata="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iU8G8AAAA&#10;2wAAAA8AAAAAAAAAAQAgAAAAIgAAAGRycy9kb3ducmV2LnhtbFBLAQIUABQAAAAIAIdO4kAzLwWe&#10;OwAAADkAAAAQAAAAAAAAAAEAIAAAAAsBAABkcnMvc2hhcGV4bWwueG1sUEsFBgAAAAAGAAYAWwEA&#10;ALUDAAAAAA==&#10;">
                  <v:fill on="f" focussize="0,0"/>
                  <v:stroke on="f"/>
                  <v:imagedata r:id="rId1" o:title=""/>
                  <o:lock v:ext="edit" aspectratio="t"/>
                </v:shape>
                <v:shape id="Picture 293" o:spid="_x0000_s1026" o:spt="75" alt="download (4)" type="#_x0000_t75" style="position:absolute;left:7006;top:118;height:4572;width:4229;" filled="f" o:preferrelative="t" stroked="f" coordsize="21600,21600" o:gfxdata="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XM8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Picture 294" o:spid="_x0000_s1026" o:spt="75" alt="download (3)" type="#_x0000_t75" style="position:absolute;left:0;top:118;height:4572;width:5651;" filled="f" o:preferrelative="t" stroked="f" coordsize="21600,21600" o:gfxdata="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gW8rsAAADb&#10;AAAADwAAAAAAAAABACAAAAAiAAAAZHJzL2Rvd25yZXYueG1sUEsBAhQAFAAAAAgAh07iQDMvBZ47&#10;AAAAOQAAABAAAAAAAAAAAQAgAAAACgEAAGRycy9zaGFwZXhtbC54bWxQSwUGAAAAAAYABgBbAQAA&#10;tAMAAAAA&#10;">
                  <v:fill on="f" focussize="0,0"/>
                  <v:stroke on="f"/>
                  <v:imagedata r:id="rId3" o:title=""/>
                  <o:lock v:ext="edit" aspectratio="t"/>
                </v:shape>
              </v:group>
            </v:group>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lang w:val="id-ID" w:eastAsia="id-ID"/>
      </w:rPr>
      <w:drawing>
        <wp:anchor distT="0" distB="0" distL="114300" distR="114300" simplePos="0" relativeHeight="251663360" behindDoc="1" locked="0" layoutInCell="1" allowOverlap="1">
          <wp:simplePos x="0" y="0"/>
          <wp:positionH relativeFrom="page">
            <wp:posOffset>-1807845</wp:posOffset>
          </wp:positionH>
          <wp:positionV relativeFrom="paragraph">
            <wp:posOffset>-1617980</wp:posOffset>
          </wp:positionV>
          <wp:extent cx="12505690" cy="2244090"/>
          <wp:effectExtent l="0" t="0" r="0" b="3810"/>
          <wp:wrapNone/>
          <wp:docPr id="2304" name="Picture 2304" descr="C:\Users\LENOVO\Downloads\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Picture 2304" descr="C:\Users\LENOVO\Downloads\background.png"/>
                  <pic:cNvPicPr>
                    <a:picLocks noChangeAspect="1" noChangeArrowheads="1"/>
                  </pic:cNvPicPr>
                </pic:nvPicPr>
                <pic:blipFill>
                  <a:blip r:embed="rId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12518453" cy="2246406"/>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szCs w:val="28"/>
      </w:rPr>
    </w:pPr>
    <w:r>
      <w:tab/>
    </w:r>
    <w:r>
      <w:tab/>
    </w:r>
    <w:r>
      <w:tab/>
    </w:r>
  </w:p>
  <w:p>
    <w:pPr>
      <w:pStyle w:val="12"/>
      <w:tabs>
        <w:tab w:val="left" w:pos="10393"/>
        <w:tab w:val="clear" w:pos="4680"/>
        <w:tab w:val="clear" w:pos="9360"/>
      </w:tabs>
    </w:pPr>
    <w:r>
      <w:rPr>
        <w:lang w:val="id-ID" w:eastAsia="id-ID"/>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ge">
                <wp:posOffset>6627495</wp:posOffset>
              </wp:positionV>
              <wp:extent cx="8570595" cy="468630"/>
              <wp:effectExtent l="0" t="0" r="1905" b="0"/>
              <wp:wrapNone/>
              <wp:docPr id="31" name="Group 276"/>
              <wp:cNvGraphicFramePr/>
              <a:graphic xmlns:a="http://schemas.openxmlformats.org/drawingml/2006/main">
                <a:graphicData uri="http://schemas.microsoft.com/office/word/2010/wordprocessingGroup">
                  <wpg:wgp>
                    <wpg:cNvGrpSpPr/>
                    <wpg:grpSpPr>
                      <a:xfrm>
                        <a:off x="0" y="0"/>
                        <a:ext cx="8570595" cy="468630"/>
                        <a:chOff x="0" y="831"/>
                        <a:chExt cx="85705" cy="4686"/>
                      </a:xfrm>
                    </wpg:grpSpPr>
                    <wpg:grpSp>
                      <wpg:cNvPr id="32" name="Group 277"/>
                      <wpg:cNvGrpSpPr/>
                      <wpg:grpSpPr>
                        <a:xfrm>
                          <a:off x="0" y="1594"/>
                          <a:ext cx="85705" cy="3379"/>
                          <a:chOff x="0" y="1594"/>
                          <a:chExt cx="85705" cy="3378"/>
                        </a:xfrm>
                      </wpg:grpSpPr>
                      <wps:wsp>
                        <wps:cNvPr id="33" name="Rounded Rectangle 278"/>
                        <wps:cNvSpPr/>
                        <wps:spPr bwMode="auto">
                          <a:xfrm>
                            <a:off x="0" y="1594"/>
                            <a:ext cx="85705" cy="3379"/>
                          </a:xfrm>
                          <a:prstGeom prst="roundRect">
                            <a:avLst>
                              <a:gd name="adj" fmla="val 16667"/>
                            </a:avLst>
                          </a:prstGeom>
                          <a:gradFill rotWithShape="1">
                            <a:gsLst>
                              <a:gs pos="0">
                                <a:srgbClr val="97C9B6"/>
                              </a:gs>
                              <a:gs pos="50000">
                                <a:srgbClr val="C1DCD1"/>
                              </a:gs>
                              <a:gs pos="100000">
                                <a:srgbClr val="E1EDE8"/>
                              </a:gs>
                            </a:gsLst>
                            <a:lin ang="0" scaled="1"/>
                          </a:gradFill>
                          <a:ln>
                            <a:noFill/>
                          </a:ln>
                        </wps:spPr>
                        <wps:txb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wps:txbx>
                        <wps:bodyPr rot="0" vert="horz" wrap="square" lIns="91440" tIns="45720" rIns="91440" bIns="45720" anchor="ctr" anchorCtr="0" upright="1">
                          <a:noAutofit/>
                        </wps:bodyPr>
                      </wps:wsp>
                      <wps:wsp>
                        <wps:cNvPr id="34" name="Text Box 279"/>
                        <wps:cNvSpPr txBox="1"/>
                        <wps:spPr bwMode="auto">
                          <a:xfrm>
                            <a:off x="67197" y="1594"/>
                            <a:ext cx="17850" cy="2642"/>
                          </a:xfrm>
                          <a:prstGeom prst="rect">
                            <a:avLst/>
                          </a:prstGeom>
                          <a:noFill/>
                          <a:ln>
                            <a:noFill/>
                          </a:ln>
                        </wps:spPr>
                        <wps:txbx>
                          <w:txbxContent>
                            <w:p>
                              <w:pPr>
                                <w:pStyle w:val="14"/>
                                <w:pBdr>
                                  <w:bottom w:val="single" w:color="D9D9D9" w:sz="4" w:space="1"/>
                                </w:pBdr>
                                <w:jc w:val="right"/>
                                <w:rPr>
                                  <w:b/>
                                  <w:bCs/>
                                </w:rPr>
                              </w:pPr>
                              <w:r>
                                <w:rPr>
                                  <w:color w:val="7F7F7F"/>
                                  <w:spacing w:val="60"/>
                                </w:rPr>
                                <w:t>Halaman</w:t>
                              </w:r>
                              <w:r>
                                <w:t xml:space="preserve"> |</w:t>
                              </w:r>
                            </w:p>
                            <w:p/>
                          </w:txbxContent>
                        </wps:txbx>
                        <wps:bodyPr rot="0" vert="horz" wrap="square" lIns="91440" tIns="45720" rIns="91440" bIns="45720" anchor="t" anchorCtr="0" upright="1">
                          <a:noAutofit/>
                        </wps:bodyPr>
                      </wps:wsp>
                    </wpg:grpSp>
                    <wpg:grpSp>
                      <wpg:cNvPr id="35" name="Group 280"/>
                      <wpg:cNvGrpSpPr/>
                      <wpg:grpSpPr>
                        <a:xfrm>
                          <a:off x="1662" y="831"/>
                          <a:ext cx="18104" cy="4686"/>
                          <a:chOff x="0" y="0"/>
                          <a:chExt cx="18107" cy="4690"/>
                        </a:xfrm>
                      </wpg:grpSpPr>
                      <pic:pic xmlns:pic="http://schemas.openxmlformats.org/drawingml/2006/picture">
                        <pic:nvPicPr>
                          <pic:cNvPr id="36" name="Picture 281" descr="downloa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2469" y="0"/>
                            <a:ext cx="5638" cy="4572"/>
                          </a:xfrm>
                          <a:prstGeom prst="rect">
                            <a:avLst/>
                          </a:prstGeom>
                          <a:noFill/>
                        </pic:spPr>
                      </pic:pic>
                      <pic:pic xmlns:pic="http://schemas.openxmlformats.org/drawingml/2006/picture">
                        <pic:nvPicPr>
                          <pic:cNvPr id="37" name="Picture 282" descr="download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7006" y="118"/>
                            <a:ext cx="4229" cy="4572"/>
                          </a:xfrm>
                          <a:prstGeom prst="rect">
                            <a:avLst/>
                          </a:prstGeom>
                          <a:noFill/>
                        </pic:spPr>
                      </pic:pic>
                      <pic:pic xmlns:pic="http://schemas.openxmlformats.org/drawingml/2006/picture">
                        <pic:nvPicPr>
                          <pic:cNvPr id="38" name="Picture 283" descr="download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118"/>
                            <a:ext cx="5651" cy="4572"/>
                          </a:xfrm>
                          <a:prstGeom prst="rect">
                            <a:avLst/>
                          </a:prstGeom>
                          <a:noFill/>
                        </pic:spPr>
                      </pic:pic>
                    </wpg:grpSp>
                  </wpg:wgp>
                </a:graphicData>
              </a:graphic>
            </wp:anchor>
          </w:drawing>
        </mc:Choice>
        <mc:Fallback>
          <w:pict>
            <v:group id="Group 276" o:spid="_x0000_s1026" o:spt="203" style="position:absolute;left:0pt;margin-top:521.85pt;height:36.9pt;width:674.85pt;mso-position-horizontal:left;mso-position-horizontal-relative:margin;mso-position-vertical-relative:page;z-index:251673600;mso-width-relative:page;mso-height-relative:page;" coordorigin="0,831" coordsize="85705,4686" o:gfxdata="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">
              <o:lock v:ext="edit" aspectratio="f"/>
              <v:group id="Group 277" o:spid="_x0000_s1026" o:spt="203" style="position:absolute;left:0;top:1594;height:3379;width:85705;" coordorigin="0,1594" coordsize="85705,3378"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roundrect id="Rounded Rectangle 278" o:spid="_x0000_s1026" o:spt="2" style="position:absolute;left:0;top:1594;height:3379;width:85705;v-text-anchor:middle;" fillcolor="#97C9B6" filled="t" stroked="f" coordsize="21600,21600" arcsize="0.166666666666667" o:gfxdata="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ass7sAAADb&#10;AAAADwAAAAAAAAABACAAAAAiAAAAZHJzL2Rvd25yZXYueG1sUEsBAhQAFAAAAAgAh07iQDMvBZ47&#10;AAAAOQAAABAAAAAAAAAAAQAgAAAACgEAAGRycy9zaGFwZXhtbC54bWxQSwUGAAAAAAYABgBbAQAA&#10;tAMAAAAA&#10;">
                  <v:fill type="gradient" on="t" color2="#E1EDE8" colors="0f #97C9B6;32768f #C1DCD1;65536f #E1EDE8" angle="90" focus="100%" focussize="0,0" rotate="t"/>
                  <v:stroke on="f"/>
                  <v:imagedata o:title=""/>
                  <o:lock v:ext="edit" aspectratio="f"/>
                  <v:textbo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v:textbox>
                </v:roundrect>
                <v:shape id="Text Box 279" o:spid="_x0000_s1026" o:spt="202" type="#_x0000_t202" style="position:absolute;left:67197;top:1594;height:2642;width:17850;"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4"/>
                          <w:pBdr>
                            <w:bottom w:val="single" w:color="D9D9D9" w:sz="4" w:space="1"/>
                          </w:pBdr>
                          <w:jc w:val="right"/>
                          <w:rPr>
                            <w:b/>
                            <w:bCs/>
                          </w:rPr>
                        </w:pPr>
                        <w:r>
                          <w:rPr>
                            <w:color w:val="7F7F7F"/>
                            <w:spacing w:val="60"/>
                          </w:rPr>
                          <w:t>Halaman</w:t>
                        </w:r>
                        <w:r>
                          <w:t xml:space="preserve"> |</w:t>
                        </w:r>
                      </w:p>
                      <w:p/>
                    </w:txbxContent>
                  </v:textbox>
                </v:shape>
              </v:group>
              <v:group id="Group 280" o:spid="_x0000_s1026" o:spt="203" style="position:absolute;left:1662;top:831;height:4686;width:18104;" coordsize="18107,469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Picture 281" o:spid="_x0000_s1026" o:spt="75" alt="download (5)" type="#_x0000_t75" style="position:absolute;left:12469;top:0;height:4572;width:5638;" filled="f" o:preferrelative="t" stroked="f" coordsize="21600,21600" o:gfxdata="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6G1C8AAAA&#10;2wAAAA8AAAAAAAAAAQAgAAAAIgAAAGRycy9kb3ducmV2LnhtbFBLAQIUABQAAAAIAIdO4kAzLwWe&#10;OwAAADkAAAAQAAAAAAAAAAEAIAAAAAsBAABkcnMvc2hhcGV4bWwueG1sUEsFBgAAAAAGAAYAWwEA&#10;ALUDAAAAAA==&#10;">
                  <v:fill on="f" focussize="0,0"/>
                  <v:stroke on="f"/>
                  <v:imagedata r:id="rId1" o:title=""/>
                  <o:lock v:ext="edit" aspectratio="t"/>
                </v:shape>
                <v:shape id="Picture 282" o:spid="_x0000_s1026" o:spt="75" alt="download (4)" type="#_x0000_t75" style="position:absolute;left:7006;top:118;height:4572;width:4229;" filled="f" o:preferrelative="t" stroked="f" coordsize="21600,21600" o:gfxdata="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Tut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Picture 283" o:spid="_x0000_s1026" o:spt="75" alt="download (3)" type="#_x0000_t75" style="position:absolute;left:0;top:118;height:4572;width:5651;" filled="f" o:preferrelative="t" stroked="f" coordsize="21600,21600" o:gfxdata="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XVRmtwAAANsAAAAP&#10;AAAAAAAAAAEAIAAAACIAAABkcnMvZG93bnJldi54bWxQSwECFAAUAAAACACHTuJAMy8FnjsAAAA5&#10;AAAAEAAAAAAAAAABACAAAAAGAQAAZHJzL3NoYXBleG1sLnhtbFBLBQYAAAAABgAGAFsBAACwAwAA&#10;AAA=&#10;">
                  <v:fill on="f" focussize="0,0"/>
                  <v:stroke on="f"/>
                  <v:imagedata r:id="rId3" o:title=""/>
                  <o:lock v:ext="edit" aspectratio="t"/>
                </v:shape>
              </v:group>
            </v:group>
          </w:pict>
        </mc:Fallback>
      </mc:AlternateContent>
    </w:r>
    <w:r>
      <w:tab/>
    </w:r>
  </w:p>
  <w:p>
    <w:pPr>
      <w:tabs>
        <w:tab w:val="left" w:pos="10393"/>
      </w:tabs>
      <w:rPr>
        <w:sz w:val="36"/>
      </w:rPr>
    </w:pPr>
    <w:r>
      <w:tab/>
    </w:r>
  </w:p>
  <w:p>
    <w:pPr>
      <w:pStyle w:val="1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8"/>
        <w:szCs w:val="28"/>
      </w:rPr>
    </w:pPr>
    <w:r>
      <w:rPr>
        <w:lang w:val="id-ID" w:eastAsia="id-ID"/>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ge">
                <wp:posOffset>6629400</wp:posOffset>
              </wp:positionV>
              <wp:extent cx="8570595" cy="468630"/>
              <wp:effectExtent l="0" t="0" r="1905" b="0"/>
              <wp:wrapNone/>
              <wp:docPr id="47" name="Group 5"/>
              <wp:cNvGraphicFramePr/>
              <a:graphic xmlns:a="http://schemas.openxmlformats.org/drawingml/2006/main">
                <a:graphicData uri="http://schemas.microsoft.com/office/word/2010/wordprocessingGroup">
                  <wpg:wgp>
                    <wpg:cNvGrpSpPr/>
                    <wpg:grpSpPr>
                      <a:xfrm>
                        <a:off x="0" y="0"/>
                        <a:ext cx="8570595" cy="468630"/>
                        <a:chOff x="0" y="831"/>
                        <a:chExt cx="85705" cy="4686"/>
                      </a:xfrm>
                    </wpg:grpSpPr>
                    <wpg:grpSp>
                      <wpg:cNvPr id="48" name="Group 2"/>
                      <wpg:cNvGrpSpPr/>
                      <wpg:grpSpPr>
                        <a:xfrm>
                          <a:off x="0" y="1266"/>
                          <a:ext cx="85705" cy="2970"/>
                          <a:chOff x="0" y="1266"/>
                          <a:chExt cx="85705" cy="2969"/>
                        </a:xfrm>
                      </wpg:grpSpPr>
                      <wps:wsp>
                        <wps:cNvPr id="49" name="Rounded Rectangle 1"/>
                        <wps:cNvSpPr/>
                        <wps:spPr bwMode="auto">
                          <a:xfrm>
                            <a:off x="0" y="1266"/>
                            <a:ext cx="85705" cy="2939"/>
                          </a:xfrm>
                          <a:prstGeom prst="roundRect">
                            <a:avLst>
                              <a:gd name="adj" fmla="val 16667"/>
                            </a:avLst>
                          </a:prstGeom>
                          <a:gradFill rotWithShape="1">
                            <a:gsLst>
                              <a:gs pos="0">
                                <a:srgbClr val="97C9B6"/>
                              </a:gs>
                              <a:gs pos="50000">
                                <a:srgbClr val="C1DCD1"/>
                              </a:gs>
                              <a:gs pos="100000">
                                <a:srgbClr val="E1EDE8"/>
                              </a:gs>
                            </a:gsLst>
                            <a:lin ang="0" scaled="1"/>
                          </a:gradFill>
                          <a:ln>
                            <a:noFill/>
                          </a:ln>
                        </wps:spPr>
                        <wps:txb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wps:txbx>
                        <wps:bodyPr rot="0" vert="horz" wrap="square" lIns="91440" tIns="45720" rIns="91440" bIns="45720" anchor="ctr" anchorCtr="0" upright="1">
                          <a:noAutofit/>
                        </wps:bodyPr>
                      </wps:wsp>
                      <wps:wsp>
                        <wps:cNvPr id="50" name="Text Box 9"/>
                        <wps:cNvSpPr txBox="1"/>
                        <wps:spPr bwMode="auto">
                          <a:xfrm>
                            <a:off x="67197" y="1594"/>
                            <a:ext cx="17850" cy="2642"/>
                          </a:xfrm>
                          <a:prstGeom prst="rect">
                            <a:avLst/>
                          </a:prstGeom>
                          <a:noFill/>
                          <a:ln>
                            <a:noFill/>
                          </a:ln>
                        </wps:spPr>
                        <wps:txbx>
                          <w:txbxContent>
                            <w:p>
                              <w:pPr>
                                <w:pStyle w:val="14"/>
                                <w:pBdr>
                                  <w:bottom w:val="single" w:color="D9D9D9" w:sz="4" w:space="1"/>
                                </w:pBdr>
                                <w:jc w:val="right"/>
                                <w:rPr>
                                  <w:b/>
                                  <w:bCs/>
                                  <w:lang w:val="id-ID"/>
                                </w:rPr>
                              </w:pPr>
                              <w:r>
                                <w:rPr>
                                  <w:color w:val="7F7F7F"/>
                                  <w:spacing w:val="60"/>
                                </w:rPr>
                                <w:t>Halaman</w:t>
                              </w:r>
                              <w:r>
                                <w:t xml:space="preserve">  | </w:t>
                              </w:r>
                              <w:r>
                                <w:fldChar w:fldCharType="begin"/>
                              </w:r>
                              <w:r>
                                <w:instrText xml:space="preserve"> PAGE   \* MERGEFORMAT </w:instrText>
                              </w:r>
                              <w:r>
                                <w:fldChar w:fldCharType="separate"/>
                              </w:r>
                              <w:r>
                                <w:rPr>
                                  <w:b/>
                                  <w:bCs/>
                                </w:rPr>
                                <w:t>58</w:t>
                              </w:r>
                              <w:r>
                                <w:rPr>
                                  <w:b/>
                                  <w:bCs/>
                                </w:rPr>
                                <w:fldChar w:fldCharType="end"/>
                              </w:r>
                              <w:r>
                                <w:t xml:space="preserve"> </w:t>
                              </w:r>
                            </w:p>
                            <w:p>
                              <w:r>
                                <w:fldChar w:fldCharType="begin"/>
                              </w:r>
                              <w:r>
                                <w:instrText xml:space="preserve"> PAGE   \* MERGEFORMAT </w:instrText>
                              </w:r>
                              <w:r>
                                <w:fldChar w:fldCharType="separate"/>
                              </w:r>
                              <w:r>
                                <w:t>58</w:t>
                              </w:r>
                              <w:r>
                                <w:fldChar w:fldCharType="end"/>
                              </w:r>
                            </w:p>
                          </w:txbxContent>
                        </wps:txbx>
                        <wps:bodyPr rot="0" vert="horz" wrap="square" lIns="91440" tIns="45720" rIns="91440" bIns="45720" anchor="t" anchorCtr="0" upright="1">
                          <a:noAutofit/>
                        </wps:bodyPr>
                      </wps:wsp>
                    </wpg:grpSp>
                    <wpg:grpSp>
                      <wpg:cNvPr id="51" name="Group 4"/>
                      <wpg:cNvGrpSpPr/>
                      <wpg:grpSpPr>
                        <a:xfrm>
                          <a:off x="1662" y="831"/>
                          <a:ext cx="18104" cy="4686"/>
                          <a:chOff x="0" y="0"/>
                          <a:chExt cx="18107" cy="4690"/>
                        </a:xfrm>
                      </wpg:grpSpPr>
                      <pic:pic xmlns:pic="http://schemas.openxmlformats.org/drawingml/2006/picture">
                        <pic:nvPicPr>
                          <pic:cNvPr id="52" name="Picture 292" descr="downloa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2469" y="0"/>
                            <a:ext cx="5638" cy="4572"/>
                          </a:xfrm>
                          <a:prstGeom prst="rect">
                            <a:avLst/>
                          </a:prstGeom>
                          <a:noFill/>
                        </pic:spPr>
                      </pic:pic>
                      <pic:pic xmlns:pic="http://schemas.openxmlformats.org/drawingml/2006/picture">
                        <pic:nvPicPr>
                          <pic:cNvPr id="53" name="Picture 293" descr="download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7006" y="118"/>
                            <a:ext cx="4229" cy="4572"/>
                          </a:xfrm>
                          <a:prstGeom prst="rect">
                            <a:avLst/>
                          </a:prstGeom>
                          <a:noFill/>
                        </pic:spPr>
                      </pic:pic>
                      <pic:pic xmlns:pic="http://schemas.openxmlformats.org/drawingml/2006/picture">
                        <pic:nvPicPr>
                          <pic:cNvPr id="54" name="Picture 294" descr="download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118"/>
                            <a:ext cx="5651" cy="4572"/>
                          </a:xfrm>
                          <a:prstGeom prst="rect">
                            <a:avLst/>
                          </a:prstGeom>
                          <a:noFill/>
                        </pic:spPr>
                      </pic:pic>
                    </wpg:grpSp>
                  </wpg:wgp>
                </a:graphicData>
              </a:graphic>
            </wp:anchor>
          </w:drawing>
        </mc:Choice>
        <mc:Fallback>
          <w:pict>
            <v:group id="Group 5" o:spid="_x0000_s1026" o:spt="203" style="position:absolute;left:0pt;margin-left:0pt;margin-top:522pt;height:36.9pt;width:674.85pt;mso-position-horizontal-relative:margin;mso-position-vertical-relative:page;z-index:251669504;mso-width-relative:page;mso-height-relative:page;" coordorigin="0,831" coordsize="85705,4686" o:gfxdata="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gpierxwAAACwCAAAZAAAAZHJzL19y&#10;ZWxzL2Uyb0RvYy54bWwucmVsc72Ry2rDMBBF94X8g5h9LD8ghBI5m1DItqQfMEhjWYn1QFJL8/cV&#10;FEoNJtl5OTPccw/M4fhtJ/ZFMRnvBDRVDYyc9Mo4LeDj8rbdA0sZncLJOxJwpwTHfvNyeKcJcwml&#10;0YTECsUlAWPO4ZXzJEeymCofyJXL4KPFXMaoeUB5Q028resdj/8Z0M+Y7KwExLPqgF3uoTQ/Z/th&#10;MJJOXn5acnmhghtbugsQo6YswJIy+LvsqmsgDXxZol1Hon0o0awj0fxJ8NmP+x9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">
              <o:lock v:ext="edit" aspectratio="f"/>
              <v:group id="Group 2" o:spid="_x0000_s1026" o:spt="203" style="position:absolute;left:0;top:1266;height:2970;width:85705;" coordorigin="0,1266" coordsize="85705,2969"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oundrect id="Rounded Rectangle 1" o:spid="_x0000_s1026" o:spt="2" style="position:absolute;left:0;top:1266;height:2939;width:85705;v-text-anchor:middle;" fillcolor="#97C9B6" filled="t" stroked="f" coordsize="21600,21600" arcsize="0.166666666666667" o:gfxdata="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joJLsAAADb&#10;AAAADwAAAAAAAAABACAAAAAiAAAAZHJzL2Rvd25yZXYueG1sUEsBAhQAFAAAAAgAh07iQDMvBZ47&#10;AAAAOQAAABAAAAAAAAAAAQAgAAAACgEAAGRycy9zaGFwZXhtbC54bWxQSwUGAAAAAAYABgBbAQAA&#10;tAMAAAAA&#10;">
                  <v:fill type="gradient" on="t" color2="#E1EDE8" colors="0f #97C9B6;32768f #C1DCD1;65536f #E1EDE8" angle="90" focus="100%" focussize="0,0" rotate="t"/>
                  <v:stroke on="f"/>
                  <v:imagedata o:title=""/>
                  <o:lock v:ext="edit" aspectratio="f"/>
                  <v:textbo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v:textbox>
                </v:roundrect>
                <v:shape id="Text Box 9" o:spid="_x0000_s1026" o:spt="202" type="#_x0000_t202" style="position:absolute;left:67197;top:1594;height:2642;width:17850;"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14"/>
                          <w:pBdr>
                            <w:bottom w:val="single" w:color="D9D9D9" w:sz="4" w:space="1"/>
                          </w:pBdr>
                          <w:jc w:val="right"/>
                          <w:rPr>
                            <w:b/>
                            <w:bCs/>
                            <w:lang w:val="id-ID"/>
                          </w:rPr>
                        </w:pPr>
                        <w:r>
                          <w:rPr>
                            <w:color w:val="7F7F7F"/>
                            <w:spacing w:val="60"/>
                          </w:rPr>
                          <w:t>Halaman</w:t>
                        </w:r>
                        <w:r>
                          <w:t xml:space="preserve">  | </w:t>
                        </w:r>
                        <w:r>
                          <w:fldChar w:fldCharType="begin"/>
                        </w:r>
                        <w:r>
                          <w:instrText xml:space="preserve"> PAGE   \* MERGEFORMAT </w:instrText>
                        </w:r>
                        <w:r>
                          <w:fldChar w:fldCharType="separate"/>
                        </w:r>
                        <w:r>
                          <w:rPr>
                            <w:b/>
                            <w:bCs/>
                          </w:rPr>
                          <w:t>58</w:t>
                        </w:r>
                        <w:r>
                          <w:rPr>
                            <w:b/>
                            <w:bCs/>
                          </w:rPr>
                          <w:fldChar w:fldCharType="end"/>
                        </w:r>
                        <w:r>
                          <w:t xml:space="preserve"> </w:t>
                        </w:r>
                      </w:p>
                      <w:p>
                        <w:r>
                          <w:fldChar w:fldCharType="begin"/>
                        </w:r>
                        <w:r>
                          <w:instrText xml:space="preserve"> PAGE   \* MERGEFORMAT </w:instrText>
                        </w:r>
                        <w:r>
                          <w:fldChar w:fldCharType="separate"/>
                        </w:r>
                        <w:r>
                          <w:t>58</w:t>
                        </w:r>
                        <w:r>
                          <w:fldChar w:fldCharType="end"/>
                        </w:r>
                      </w:p>
                    </w:txbxContent>
                  </v:textbox>
                </v:shape>
              </v:group>
              <v:group id="Group 4" o:spid="_x0000_s1026" o:spt="203" style="position:absolute;left:1662;top:831;height:4686;width:18104;" coordsize="18107,469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Picture 292" o:spid="_x0000_s1026" o:spt="75" alt="download (5)" type="#_x0000_t75" style="position:absolute;left:12469;top:0;height:4572;width:5638;" filled="f" o:preferrelative="t" stroked="f" coordsize="21600,21600" o:gfxdata="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74874A&#10;AADbAAAADwAAAAAAAAABACAAAAAiAAAAZHJzL2Rvd25yZXYueG1sUEsBAhQAFAAAAAgAh07iQDMv&#10;BZ47AAAAOQAAABAAAAAAAAAAAQAgAAAADQEAAGRycy9zaGFwZXhtbC54bWxQSwUGAAAAAAYABgBb&#10;AQAAtwMAAAAA&#10;">
                  <v:fill on="f" focussize="0,0"/>
                  <v:stroke on="f"/>
                  <v:imagedata r:id="rId1" o:title=""/>
                  <o:lock v:ext="edit" aspectratio="t"/>
                </v:shape>
                <v:shape id="Picture 293" o:spid="_x0000_s1026" o:spt="75" alt="download (4)" type="#_x0000_t75" style="position:absolute;left:7006;top:118;height:4572;width:4229;" filled="f" o:preferrelative="t" stroked="f" coordsize="21600,21600" o:gfxdata="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dgO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Picture 294" o:spid="_x0000_s1026" o:spt="75" alt="download (3)" type="#_x0000_t75" style="position:absolute;left:0;top:118;height:4572;width:5651;" filled="f" o:preferrelative="t" stroked="f" coordsize="21600,21600" o:gfxdata="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Pu8O5AAAA2wAA&#10;AA8AAAAAAAAAAQAgAAAAIgAAAGRycy9kb3ducmV2LnhtbFBLAQIUABQAAAAIAIdO4kAzLwWeOwAA&#10;ADkAAAAQAAAAAAAAAAEAIAAAAAgBAABkcnMvc2hhcGV4bWwueG1sUEsFBgAAAAAGAAYAWwEAALID&#10;AAAAAA==&#10;">
                  <v:fill on="f" focussize="0,0"/>
                  <v:stroke on="f"/>
                  <v:imagedata r:id="rId3" o:title=""/>
                  <o:lock v:ext="edit" aspectratio="t"/>
                </v:shape>
              </v:group>
            </v:group>
          </w:pict>
        </mc:Fallback>
      </mc:AlternateContent>
    </w:r>
    <w:r>
      <w:tab/>
    </w:r>
    <w:r>
      <w:tab/>
    </w:r>
    <w:r>
      <w:tab/>
    </w:r>
  </w:p>
  <w:p>
    <w:pPr>
      <w:pStyle w:val="12"/>
      <w:tabs>
        <w:tab w:val="left" w:pos="10393"/>
        <w:tab w:val="clear" w:pos="4680"/>
        <w:tab w:val="clear" w:pos="9360"/>
      </w:tabs>
    </w:pPr>
    <w:r>
      <w:tab/>
    </w:r>
  </w:p>
  <w:p>
    <w:pPr>
      <w:tabs>
        <w:tab w:val="left" w:pos="10393"/>
      </w:tabs>
      <w:rPr>
        <w:sz w:val="36"/>
      </w:rP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10393"/>
        <w:tab w:val="clear" w:pos="4680"/>
        <w:tab w:val="clear" w:pos="9360"/>
      </w:tabs>
    </w:pPr>
    <w:r>
      <w:tab/>
    </w:r>
  </w:p>
  <w:p>
    <w:pPr>
      <w:tabs>
        <w:tab w:val="left" w:pos="10393"/>
      </w:tabs>
      <w:rPr>
        <w:sz w:val="36"/>
      </w:rPr>
    </w:pPr>
    <w:r>
      <w:rPr>
        <w:lang w:val="id-ID" w:eastAsia="id-ID"/>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ge">
                <wp:posOffset>6627495</wp:posOffset>
              </wp:positionV>
              <wp:extent cx="8570595" cy="479425"/>
              <wp:effectExtent l="0" t="7620" r="1905" b="0"/>
              <wp:wrapNone/>
              <wp:docPr id="1" name="Group 33"/>
              <wp:cNvGraphicFramePr/>
              <a:graphic xmlns:a="http://schemas.openxmlformats.org/drawingml/2006/main">
                <a:graphicData uri="http://schemas.microsoft.com/office/word/2010/wordprocessingGroup">
                  <wpg:wgp>
                    <wpg:cNvGrpSpPr/>
                    <wpg:grpSpPr>
                      <a:xfrm>
                        <a:off x="0" y="0"/>
                        <a:ext cx="8570595" cy="479425"/>
                        <a:chOff x="0" y="721"/>
                        <a:chExt cx="85705" cy="4795"/>
                      </a:xfrm>
                    </wpg:grpSpPr>
                    <wpg:grpSp>
                      <wpg:cNvPr id="2" name="Group 34"/>
                      <wpg:cNvGrpSpPr/>
                      <wpg:grpSpPr>
                        <a:xfrm>
                          <a:off x="0" y="721"/>
                          <a:ext cx="85705" cy="4237"/>
                          <a:chOff x="0" y="721"/>
                          <a:chExt cx="85705" cy="4236"/>
                        </a:xfrm>
                      </wpg:grpSpPr>
                      <wps:wsp>
                        <wps:cNvPr id="4" name="Rounded Rectangle 35"/>
                        <wps:cNvSpPr/>
                        <wps:spPr bwMode="auto">
                          <a:xfrm>
                            <a:off x="0" y="721"/>
                            <a:ext cx="85705" cy="4237"/>
                          </a:xfrm>
                          <a:prstGeom prst="roundRect">
                            <a:avLst>
                              <a:gd name="adj" fmla="val 16667"/>
                            </a:avLst>
                          </a:prstGeom>
                          <a:gradFill rotWithShape="1">
                            <a:gsLst>
                              <a:gs pos="0">
                                <a:srgbClr val="97C9B6"/>
                              </a:gs>
                              <a:gs pos="50000">
                                <a:srgbClr val="C1DCD1"/>
                              </a:gs>
                              <a:gs pos="100000">
                                <a:srgbClr val="E1EDE8"/>
                              </a:gs>
                            </a:gsLst>
                            <a:lin ang="0" scaled="1"/>
                          </a:gradFill>
                          <a:ln>
                            <a:noFill/>
                          </a:ln>
                        </wps:spPr>
                        <wps:txb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wps:txbx>
                        <wps:bodyPr rot="0" vert="horz" wrap="square" lIns="91440" tIns="45720" rIns="91440" bIns="45720" anchor="ctr" anchorCtr="0" upright="1">
                          <a:noAutofit/>
                        </wps:bodyPr>
                      </wps:wsp>
                      <wps:wsp>
                        <wps:cNvPr id="5" name="Text Box 36"/>
                        <wps:cNvSpPr txBox="1"/>
                        <wps:spPr bwMode="auto">
                          <a:xfrm>
                            <a:off x="67197" y="1594"/>
                            <a:ext cx="17850" cy="2642"/>
                          </a:xfrm>
                          <a:prstGeom prst="rect">
                            <a:avLst/>
                          </a:prstGeom>
                          <a:noFill/>
                          <a:ln>
                            <a:noFill/>
                          </a:ln>
                        </wps:spPr>
                        <wps:txbx>
                          <w:txbxContent>
                            <w:p>
                              <w:pPr>
                                <w:pStyle w:val="14"/>
                                <w:pBdr>
                                  <w:bottom w:val="single" w:color="D9D9D9" w:sz="4" w:space="1"/>
                                </w:pBdr>
                                <w:jc w:val="right"/>
                                <w:rPr>
                                  <w:b/>
                                  <w:bCs/>
                                </w:rPr>
                              </w:pPr>
                              <w:r>
                                <w:rPr>
                                  <w:color w:val="7F7F7F"/>
                                  <w:spacing w:val="60"/>
                                </w:rPr>
                                <w:t>Halaman</w:t>
                              </w:r>
                              <w:r>
                                <w:t xml:space="preserve"> | </w:t>
                              </w:r>
                              <w:r>
                                <w:fldChar w:fldCharType="begin"/>
                              </w:r>
                              <w:r>
                                <w:instrText xml:space="preserve"> PAGE  </w:instrText>
                              </w:r>
                              <w:r>
                                <w:fldChar w:fldCharType="separate"/>
                              </w:r>
                              <w:r>
                                <w:t>114</w:t>
                              </w:r>
                              <w:r>
                                <w:fldChar w:fldCharType="end"/>
                              </w:r>
                            </w:p>
                            <w:p/>
                          </w:txbxContent>
                        </wps:txbx>
                        <wps:bodyPr rot="0" vert="horz" wrap="square" lIns="91440" tIns="45720" rIns="91440" bIns="45720" anchor="t" anchorCtr="0" upright="1">
                          <a:noAutofit/>
                        </wps:bodyPr>
                      </wps:wsp>
                    </wpg:grpSp>
                    <wpg:grpSp>
                      <wpg:cNvPr id="6" name="Group 37"/>
                      <wpg:cNvGrpSpPr/>
                      <wpg:grpSpPr>
                        <a:xfrm>
                          <a:off x="1662" y="831"/>
                          <a:ext cx="18104" cy="4686"/>
                          <a:chOff x="0" y="0"/>
                          <a:chExt cx="18107" cy="4690"/>
                        </a:xfrm>
                      </wpg:grpSpPr>
                      <pic:pic xmlns:pic="http://schemas.openxmlformats.org/drawingml/2006/picture">
                        <pic:nvPicPr>
                          <pic:cNvPr id="9" name="Picture 38" descr="downloa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2469" y="0"/>
                            <a:ext cx="5638" cy="4572"/>
                          </a:xfrm>
                          <a:prstGeom prst="rect">
                            <a:avLst/>
                          </a:prstGeom>
                          <a:noFill/>
                        </pic:spPr>
                      </pic:pic>
                      <pic:pic xmlns:pic="http://schemas.openxmlformats.org/drawingml/2006/picture">
                        <pic:nvPicPr>
                          <pic:cNvPr id="19" name="Picture 39" descr="download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7006" y="118"/>
                            <a:ext cx="4229" cy="4572"/>
                          </a:xfrm>
                          <a:prstGeom prst="rect">
                            <a:avLst/>
                          </a:prstGeom>
                          <a:noFill/>
                        </pic:spPr>
                      </pic:pic>
                      <pic:pic xmlns:pic="http://schemas.openxmlformats.org/drawingml/2006/picture">
                        <pic:nvPicPr>
                          <pic:cNvPr id="22" name="Picture 40" descr="download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a:xfrm>
                            <a:off x="0" y="118"/>
                            <a:ext cx="5651" cy="4572"/>
                          </a:xfrm>
                          <a:prstGeom prst="rect">
                            <a:avLst/>
                          </a:prstGeom>
                          <a:noFill/>
                        </pic:spPr>
                      </pic:pic>
                    </wpg:grpSp>
                  </wpg:wgp>
                </a:graphicData>
              </a:graphic>
            </wp:anchor>
          </w:drawing>
        </mc:Choice>
        <mc:Fallback>
          <w:pict>
            <v:group id="Group 33" o:spid="_x0000_s1026" o:spt="203" style="position:absolute;left:0pt;margin-top:521.85pt;height:37.75pt;width:674.85pt;mso-position-horizontal:left;mso-position-horizontal-relative:margin;mso-position-vertical-relative:page;z-index:251660288;mso-width-relative:page;mso-height-relative:page;" coordorigin="0,721" coordsize="85705,4795" o:gfxdata="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">
              <o:lock v:ext="edit" aspectratio="f"/>
              <v:group id="Group 34" o:spid="_x0000_s1026" o:spt="203" style="position:absolute;left:0;top:721;height:4237;width:85705;" coordorigin="0,721" coordsize="85705,4236"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oundrect id="Rounded Rectangle 35" o:spid="_x0000_s1026" o:spt="2" style="position:absolute;left:0;top:721;height:4237;width:85705;v-text-anchor:middle;" fillcolor="#97C9B6" filled="t" stroked="f" coordsize="21600,21600" arcsize="0.166666666666667" o:gfxdata="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Y8oUugAAANoA&#10;AAAPAAAAAAAAAAEAIAAAACIAAABkcnMvZG93bnJldi54bWxQSwECFAAUAAAACACHTuJAMy8FnjsA&#10;AAA5AAAAEAAAAAAAAAABACAAAAAJAQAAZHJzL3NoYXBleG1sLnhtbFBLBQYAAAAABgAGAFsBAACz&#10;AwAAAAA=&#10;">
                  <v:fill type="gradient" on="t" color2="#E1EDE8" colors="0f #97C9B6;32768f #C1DCD1;65536f #E1EDE8" angle="90" focus="100%" focussize="0,0" rotate="t"/>
                  <v:stroke on="f"/>
                  <v:imagedata o:title=""/>
                  <o:lock v:ext="edit" aspectratio="f"/>
                  <v:textbox>
                    <w:txbxContent>
                      <w:p>
                        <w:pPr>
                          <w:spacing w:after="0"/>
                          <w:jc w:val="center"/>
                          <w:rPr>
                            <w:rFonts w:ascii="Berlin Sans FB" w:hAnsi="Berlin Sans FB"/>
                            <w:color w:val="4A442A"/>
                            <w:lang w:val="id-ID"/>
                          </w:rPr>
                        </w:pPr>
                        <w:r>
                          <w:rPr>
                            <w:rFonts w:ascii="Berlin Sans FB" w:hAnsi="Berlin Sans FB"/>
                            <w:color w:val="4A442A"/>
                          </w:rPr>
                          <w:t>Rencana Strategis Bisnis RSHS</w:t>
                        </w:r>
                      </w:p>
                    </w:txbxContent>
                  </v:textbox>
                </v:roundrect>
                <v:shape id="Text Box 36" o:spid="_x0000_s1026" o:spt="202" type="#_x0000_t202" style="position:absolute;left:67197;top:1594;height:2642;width:17850;"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4"/>
                          <w:pBdr>
                            <w:bottom w:val="single" w:color="D9D9D9" w:sz="4" w:space="1"/>
                          </w:pBdr>
                          <w:jc w:val="right"/>
                          <w:rPr>
                            <w:b/>
                            <w:bCs/>
                          </w:rPr>
                        </w:pPr>
                        <w:r>
                          <w:rPr>
                            <w:color w:val="7F7F7F"/>
                            <w:spacing w:val="60"/>
                          </w:rPr>
                          <w:t>Halaman</w:t>
                        </w:r>
                        <w:r>
                          <w:t xml:space="preserve"> | </w:t>
                        </w:r>
                        <w:r>
                          <w:fldChar w:fldCharType="begin"/>
                        </w:r>
                        <w:r>
                          <w:instrText xml:space="preserve"> PAGE  </w:instrText>
                        </w:r>
                        <w:r>
                          <w:fldChar w:fldCharType="separate"/>
                        </w:r>
                        <w:r>
                          <w:t>114</w:t>
                        </w:r>
                        <w:r>
                          <w:fldChar w:fldCharType="end"/>
                        </w:r>
                      </w:p>
                      <w:p/>
                    </w:txbxContent>
                  </v:textbox>
                </v:shape>
              </v:group>
              <v:group id="Group 37" o:spid="_x0000_s1026" o:spt="203" style="position:absolute;left:1662;top:831;height:4686;width:18104;" coordsize="18107,469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Picture 38" o:spid="_x0000_s1026" o:spt="75" alt="download (5)" type="#_x0000_t75" style="position:absolute;left:12469;top:0;height:4572;width:5638;" filled="f" o:preferrelative="t" stroked="f" coordsize="21600,21600" o:gfxdata="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glL7sAAADa&#10;AAAADwAAAAAAAAABACAAAAAiAAAAZHJzL2Rvd25yZXYueG1sUEsBAhQAFAAAAAgAh07iQDMvBZ47&#10;AAAAOQAAABAAAAAAAAAAAQAgAAAACgEAAGRycy9zaGFwZXhtbC54bWxQSwUGAAAAAAYABgBbAQAA&#10;tAMAAAAA&#10;">
                  <v:fill on="f" focussize="0,0"/>
                  <v:stroke on="f"/>
                  <v:imagedata r:id="rId1" o:title=""/>
                  <o:lock v:ext="edit" aspectratio="t"/>
                </v:shape>
                <v:shape id="Picture 39" o:spid="_x0000_s1026" o:spt="75" alt="download (4)" type="#_x0000_t75" style="position:absolute;left:7006;top:118;height:4572;width:4229;" filled="f" o:preferrelative="t" stroked="f" coordsize="21600,21600" o:gfxdata="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z1YkugAAANsA&#10;AAAPAAAAAAAAAAEAIAAAACIAAABkcnMvZG93bnJldi54bWxQSwECFAAUAAAACACHTuJAMy8FnjsA&#10;AAA5AAAAEAAAAAAAAAABACAAAAAJAQAAZHJzL3NoYXBleG1sLnhtbFBLBQYAAAAABgAGAFsBAACz&#10;AwAAAAA=&#10;">
                  <v:fill on="f" focussize="0,0"/>
                  <v:stroke on="f"/>
                  <v:imagedata r:id="rId2" o:title=""/>
                  <o:lock v:ext="edit" aspectratio="t"/>
                </v:shape>
                <v:shape id="Picture 40" o:spid="_x0000_s1026" o:spt="75" alt="download (3)" type="#_x0000_t75" style="position:absolute;left:0;top:118;height:4572;width:5651;" filled="f" o:preferrelative="t" stroked="f" coordsize="21600,21600" o:gfxdata="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mz1UbgAAADbAAAA&#10;DwAAAAAAAAABACAAAAAiAAAAZHJzL2Rvd25yZXYueG1sUEsBAhQAFAAAAAgAh07iQDMvBZ47AAAA&#10;OQAAABAAAAAAAAAAAQAgAAAABwEAAGRycy9zaGFwZXhtbC54bWxQSwUGAAAAAAYABgBbAQAAsQMA&#10;AAAA&#10;">
                  <v:fill on="f" focussize="0,0"/>
                  <v:stroke on="f"/>
                  <v:imagedata r:id="rId3" o:title=""/>
                  <o:lock v:ext="edit" aspectratio="t"/>
                </v:shape>
              </v:group>
            </v:group>
          </w:pict>
        </mc:Fallback>
      </mc:AlternateContent>
    </w:r>
    <w:r>
      <w:tab/>
    </w:r>
  </w:p>
  <w:p>
    <w:pPr>
      <w:pStyle w:val="12"/>
      <w:jc w:val="center"/>
    </w:pP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5"/>
      </w:rPr>
    </w:pPr>
    <w:r>
      <w:fldChar w:fldCharType="begin"/>
    </w:r>
    <w:r>
      <w:rPr>
        <w:rStyle w:val="25"/>
      </w:rPr>
      <w:instrText xml:space="preserve">PAGE  </w:instrText>
    </w:r>
    <w:r>
      <w:fldChar w:fldCharType="end"/>
    </w: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5"/>
      </w:rPr>
    </w:pPr>
    <w:r>
      <w:fldChar w:fldCharType="begin"/>
    </w:r>
    <w:r>
      <w:rPr>
        <w:rStyle w:val="25"/>
      </w:rPr>
      <w:instrText xml:space="preserve">PAGE  </w:instrText>
    </w:r>
    <w: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1418"/>
    </w:pPr>
    <w:r>
      <w:rPr>
        <w:lang w:val="id-ID" w:eastAsia="id-ID"/>
      </w:rPr>
      <w:drawing>
        <wp:anchor distT="0" distB="0" distL="114300" distR="114300" simplePos="0" relativeHeight="251665408" behindDoc="1" locked="0" layoutInCell="1" allowOverlap="1">
          <wp:simplePos x="0" y="0"/>
          <wp:positionH relativeFrom="page">
            <wp:posOffset>-62230</wp:posOffset>
          </wp:positionH>
          <wp:positionV relativeFrom="paragraph">
            <wp:posOffset>-457200</wp:posOffset>
          </wp:positionV>
          <wp:extent cx="10697210" cy="2036445"/>
          <wp:effectExtent l="0" t="0" r="0" b="1905"/>
          <wp:wrapNone/>
          <wp:docPr id="56" name="Picture 56" descr="C:\Users\LENOVO\Downloads\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LENOVO\Downloads\background.png"/>
                  <pic:cNvPicPr>
                    <a:picLocks noChangeAspect="1" noChangeArrowheads="1"/>
                  </pic:cNvPicPr>
                </pic:nvPicPr>
                <pic:blipFill>
                  <a:blip r:embed="rId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a:xfrm flipH="1" flipV="1">
                    <a:off x="0" y="0"/>
                    <a:ext cx="10757200" cy="2048081"/>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9AE"/>
    <w:multiLevelType w:val="multilevel"/>
    <w:tmpl w:val="061459A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0D616615"/>
    <w:multiLevelType w:val="multilevel"/>
    <w:tmpl w:val="0D61661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0EDA741F"/>
    <w:multiLevelType w:val="multilevel"/>
    <w:tmpl w:val="0EDA741F"/>
    <w:lvl w:ilvl="0" w:tentative="0">
      <w:start w:val="1"/>
      <w:numFmt w:val="bullet"/>
      <w:lvlText w:val="-"/>
      <w:lvlJc w:val="left"/>
      <w:pPr>
        <w:ind w:left="849" w:hanging="360"/>
      </w:pPr>
      <w:rPr>
        <w:rFonts w:hint="default" w:ascii="Calibri" w:hAnsi="Calibri"/>
      </w:rPr>
    </w:lvl>
    <w:lvl w:ilvl="1" w:tentative="0">
      <w:start w:val="1"/>
      <w:numFmt w:val="bullet"/>
      <w:lvlText w:val="o"/>
      <w:lvlJc w:val="left"/>
      <w:pPr>
        <w:ind w:left="1569" w:hanging="360"/>
      </w:pPr>
      <w:rPr>
        <w:rFonts w:hint="default" w:ascii="Courier New" w:hAnsi="Courier New" w:cs="Courier New"/>
      </w:rPr>
    </w:lvl>
    <w:lvl w:ilvl="2" w:tentative="0">
      <w:start w:val="1"/>
      <w:numFmt w:val="bullet"/>
      <w:lvlText w:val=""/>
      <w:lvlJc w:val="left"/>
      <w:pPr>
        <w:ind w:left="2289" w:hanging="360"/>
      </w:pPr>
      <w:rPr>
        <w:rFonts w:hint="default" w:ascii="Wingdings" w:hAnsi="Wingdings"/>
      </w:rPr>
    </w:lvl>
    <w:lvl w:ilvl="3" w:tentative="0">
      <w:start w:val="1"/>
      <w:numFmt w:val="bullet"/>
      <w:lvlText w:val=""/>
      <w:lvlJc w:val="left"/>
      <w:pPr>
        <w:ind w:left="3009" w:hanging="360"/>
      </w:pPr>
      <w:rPr>
        <w:rFonts w:hint="default" w:ascii="Symbol" w:hAnsi="Symbol"/>
      </w:rPr>
    </w:lvl>
    <w:lvl w:ilvl="4" w:tentative="0">
      <w:start w:val="1"/>
      <w:numFmt w:val="bullet"/>
      <w:lvlText w:val="o"/>
      <w:lvlJc w:val="left"/>
      <w:pPr>
        <w:ind w:left="3729" w:hanging="360"/>
      </w:pPr>
      <w:rPr>
        <w:rFonts w:hint="default" w:ascii="Courier New" w:hAnsi="Courier New" w:cs="Courier New"/>
      </w:rPr>
    </w:lvl>
    <w:lvl w:ilvl="5" w:tentative="0">
      <w:start w:val="1"/>
      <w:numFmt w:val="bullet"/>
      <w:lvlText w:val=""/>
      <w:lvlJc w:val="left"/>
      <w:pPr>
        <w:ind w:left="4449" w:hanging="360"/>
      </w:pPr>
      <w:rPr>
        <w:rFonts w:hint="default" w:ascii="Wingdings" w:hAnsi="Wingdings"/>
      </w:rPr>
    </w:lvl>
    <w:lvl w:ilvl="6" w:tentative="0">
      <w:start w:val="1"/>
      <w:numFmt w:val="bullet"/>
      <w:lvlText w:val=""/>
      <w:lvlJc w:val="left"/>
      <w:pPr>
        <w:ind w:left="5169" w:hanging="360"/>
      </w:pPr>
      <w:rPr>
        <w:rFonts w:hint="default" w:ascii="Symbol" w:hAnsi="Symbol"/>
      </w:rPr>
    </w:lvl>
    <w:lvl w:ilvl="7" w:tentative="0">
      <w:start w:val="1"/>
      <w:numFmt w:val="bullet"/>
      <w:lvlText w:val="o"/>
      <w:lvlJc w:val="left"/>
      <w:pPr>
        <w:ind w:left="5889" w:hanging="360"/>
      </w:pPr>
      <w:rPr>
        <w:rFonts w:hint="default" w:ascii="Courier New" w:hAnsi="Courier New" w:cs="Courier New"/>
      </w:rPr>
    </w:lvl>
    <w:lvl w:ilvl="8" w:tentative="0">
      <w:start w:val="1"/>
      <w:numFmt w:val="bullet"/>
      <w:lvlText w:val=""/>
      <w:lvlJc w:val="left"/>
      <w:pPr>
        <w:ind w:left="6609" w:hanging="360"/>
      </w:pPr>
      <w:rPr>
        <w:rFonts w:hint="default" w:ascii="Wingdings" w:hAnsi="Wingdings"/>
      </w:rPr>
    </w:lvl>
  </w:abstractNum>
  <w:abstractNum w:abstractNumId="3">
    <w:nsid w:val="0F607724"/>
    <w:multiLevelType w:val="multilevel"/>
    <w:tmpl w:val="0F60772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0F9E4FD7"/>
    <w:multiLevelType w:val="multilevel"/>
    <w:tmpl w:val="0F9E4FD7"/>
    <w:lvl w:ilvl="0" w:tentative="0">
      <w:start w:val="1"/>
      <w:numFmt w:val="lowerLetter"/>
      <w:lvlText w:val="%1."/>
      <w:lvlJc w:val="left"/>
      <w:pPr>
        <w:tabs>
          <w:tab w:val="left" w:pos="720"/>
        </w:tabs>
        <w:ind w:left="720" w:hanging="360"/>
      </w:pPr>
    </w:lvl>
    <w:lvl w:ilvl="1" w:tentative="0">
      <w:start w:val="1"/>
      <w:numFmt w:val="lowerRoman"/>
      <w:lvlText w:val="%2."/>
      <w:lvlJc w:val="left"/>
      <w:pPr>
        <w:ind w:left="1440" w:hanging="360"/>
      </w:pPr>
    </w:lvl>
    <w:lvl w:ilvl="2" w:tentative="0">
      <w:start w:val="1"/>
      <w:numFmt w:val="lowerRoman"/>
      <w:lvlText w:val="%3."/>
      <w:lvlJc w:val="right"/>
      <w:pPr>
        <w:ind w:left="2160" w:hanging="180"/>
      </w:pPr>
    </w:lvl>
    <w:lvl w:ilvl="3" w:tentative="0">
      <w:start w:val="1"/>
      <w:numFmt w:val="lowerRoman"/>
      <w:lvlText w:val="(%4)"/>
      <w:lvlJc w:val="left"/>
      <w:pPr>
        <w:ind w:left="3240" w:hanging="72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rPr>
        <w:rFonts w:ascii="Calibri" w:hAnsi="Calibri" w:eastAsia="Calibri" w:cs="Times New Roman"/>
      </w:r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1470200"/>
    <w:multiLevelType w:val="multilevel"/>
    <w:tmpl w:val="1147020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17A27A2"/>
    <w:multiLevelType w:val="multilevel"/>
    <w:tmpl w:val="117A27A2"/>
    <w:lvl w:ilvl="0" w:tentative="0">
      <w:start w:val="1"/>
      <w:numFmt w:val="decimal"/>
      <w:lvlText w:val="%1."/>
      <w:lvlJc w:val="left"/>
      <w:pPr>
        <w:ind w:left="927" w:hanging="360"/>
      </w:pPr>
      <w:rPr>
        <w:rFonts w:hint="default" w:eastAsia="Times New Roman" w:cs="Arial" w:asciiTheme="minorHAnsi" w:hAnsiTheme="minorHAnsi"/>
        <w:sz w:val="24"/>
        <w:szCs w:val="24"/>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7">
    <w:nsid w:val="118D140A"/>
    <w:multiLevelType w:val="multilevel"/>
    <w:tmpl w:val="118D140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299313E"/>
    <w:multiLevelType w:val="multilevel"/>
    <w:tmpl w:val="1299313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32106DD"/>
    <w:multiLevelType w:val="multilevel"/>
    <w:tmpl w:val="132106DD"/>
    <w:lvl w:ilvl="0" w:tentative="0">
      <w:start w:val="1"/>
      <w:numFmt w:val="bullet"/>
      <w:lvlText w:val="o"/>
      <w:lvlJc w:val="left"/>
      <w:pPr>
        <w:tabs>
          <w:tab w:val="left" w:pos="720"/>
        </w:tabs>
        <w:ind w:left="720" w:hanging="360"/>
      </w:pPr>
      <w:rPr>
        <w:rFonts w:hint="default" w:ascii="Courier New" w:hAnsi="Courier New"/>
      </w:rPr>
    </w:lvl>
    <w:lvl w:ilvl="1" w:tentative="0">
      <w:start w:val="1"/>
      <w:numFmt w:val="bullet"/>
      <w:lvlText w:val=""/>
      <w:lvlJc w:val="left"/>
      <w:pPr>
        <w:tabs>
          <w:tab w:val="left" w:pos="1440"/>
        </w:tabs>
        <w:ind w:left="1440" w:hanging="360"/>
      </w:pPr>
      <w:rPr>
        <w:rFonts w:hint="default" w:ascii="Symbol" w:hAnsi="Symbol" w:cs="Symbol"/>
      </w:rPr>
    </w:lvl>
    <w:lvl w:ilvl="2" w:tentative="0">
      <w:start w:val="1"/>
      <w:numFmt w:val="bullet"/>
      <w:lvlText w:val="o"/>
      <w:lvlJc w:val="left"/>
      <w:pPr>
        <w:tabs>
          <w:tab w:val="left" w:pos="2160"/>
        </w:tabs>
        <w:ind w:left="2160" w:hanging="360"/>
      </w:pPr>
      <w:rPr>
        <w:rFonts w:hint="default" w:ascii="Courier New" w:hAnsi="Courier New"/>
      </w:rPr>
    </w:lvl>
    <w:lvl w:ilvl="3" w:tentative="0">
      <w:start w:val="1"/>
      <w:numFmt w:val="bullet"/>
      <w:lvlText w:val="o"/>
      <w:lvlJc w:val="left"/>
      <w:pPr>
        <w:tabs>
          <w:tab w:val="left" w:pos="2880"/>
        </w:tabs>
        <w:ind w:left="2880" w:hanging="360"/>
      </w:pPr>
      <w:rPr>
        <w:rFonts w:hint="default" w:ascii="Courier New" w:hAnsi="Courier New"/>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o"/>
      <w:lvlJc w:val="left"/>
      <w:pPr>
        <w:tabs>
          <w:tab w:val="left" w:pos="4320"/>
        </w:tabs>
        <w:ind w:left="4320" w:hanging="360"/>
      </w:pPr>
      <w:rPr>
        <w:rFonts w:hint="default" w:ascii="Courier New" w:hAnsi="Courier New"/>
      </w:rPr>
    </w:lvl>
    <w:lvl w:ilvl="6" w:tentative="0">
      <w:start w:val="1"/>
      <w:numFmt w:val="bullet"/>
      <w:lvlText w:val="o"/>
      <w:lvlJc w:val="left"/>
      <w:pPr>
        <w:tabs>
          <w:tab w:val="left" w:pos="5040"/>
        </w:tabs>
        <w:ind w:left="5040" w:hanging="360"/>
      </w:pPr>
      <w:rPr>
        <w:rFonts w:hint="default" w:ascii="Courier New" w:hAnsi="Courier New"/>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o"/>
      <w:lvlJc w:val="left"/>
      <w:pPr>
        <w:tabs>
          <w:tab w:val="left" w:pos="6480"/>
        </w:tabs>
        <w:ind w:left="6480" w:hanging="360"/>
      </w:pPr>
      <w:rPr>
        <w:rFonts w:hint="default" w:ascii="Courier New" w:hAnsi="Courier New"/>
      </w:rPr>
    </w:lvl>
  </w:abstractNum>
  <w:abstractNum w:abstractNumId="10">
    <w:nsid w:val="13EA3525"/>
    <w:multiLevelType w:val="multilevel"/>
    <w:tmpl w:val="13EA3525"/>
    <w:lvl w:ilvl="0" w:tentative="0">
      <w:start w:val="1"/>
      <w:numFmt w:val="bullet"/>
      <w:lvlText w:val=""/>
      <w:lvlJc w:val="left"/>
      <w:pPr>
        <w:ind w:left="927" w:hanging="360"/>
      </w:pPr>
      <w:rPr>
        <w:rFonts w:hint="default" w:ascii="Symbol" w:hAnsi="Symbol"/>
        <w:sz w:val="24"/>
        <w:szCs w:val="24"/>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1">
    <w:nsid w:val="140B256A"/>
    <w:multiLevelType w:val="multilevel"/>
    <w:tmpl w:val="140B256A"/>
    <w:lvl w:ilvl="0" w:tentative="0">
      <w:start w:val="1"/>
      <w:numFmt w:val="lowerRoman"/>
      <w:lvlText w:val="(%1)"/>
      <w:lvlJc w:val="left"/>
      <w:pPr>
        <w:ind w:left="1080" w:hanging="72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4A079F6"/>
    <w:multiLevelType w:val="multilevel"/>
    <w:tmpl w:val="14A079F6"/>
    <w:lvl w:ilvl="0" w:tentative="0">
      <w:start w:val="1"/>
      <w:numFmt w:val="lowerLetter"/>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614320B"/>
    <w:multiLevelType w:val="multilevel"/>
    <w:tmpl w:val="1614320B"/>
    <w:lvl w:ilvl="0" w:tentative="0">
      <w:start w:val="1"/>
      <w:numFmt w:val="lowerLetter"/>
      <w:lvlText w:val="%1."/>
      <w:lvlJc w:val="left"/>
      <w:pPr>
        <w:ind w:left="1802" w:hanging="360"/>
      </w:pPr>
    </w:lvl>
    <w:lvl w:ilvl="1" w:tentative="0">
      <w:start w:val="1"/>
      <w:numFmt w:val="lowerLetter"/>
      <w:lvlText w:val="%2."/>
      <w:lvlJc w:val="left"/>
      <w:pPr>
        <w:ind w:left="2522" w:hanging="360"/>
      </w:pPr>
    </w:lvl>
    <w:lvl w:ilvl="2" w:tentative="0">
      <w:start w:val="1"/>
      <w:numFmt w:val="lowerRoman"/>
      <w:lvlText w:val="%3."/>
      <w:lvlJc w:val="right"/>
      <w:pPr>
        <w:ind w:left="3242" w:hanging="180"/>
      </w:pPr>
    </w:lvl>
    <w:lvl w:ilvl="3" w:tentative="0">
      <w:start w:val="1"/>
      <w:numFmt w:val="decimal"/>
      <w:lvlText w:val="%4."/>
      <w:lvlJc w:val="left"/>
      <w:pPr>
        <w:ind w:left="3962" w:hanging="360"/>
      </w:pPr>
    </w:lvl>
    <w:lvl w:ilvl="4" w:tentative="0">
      <w:start w:val="1"/>
      <w:numFmt w:val="lowerLetter"/>
      <w:lvlText w:val="%5."/>
      <w:lvlJc w:val="left"/>
      <w:pPr>
        <w:ind w:left="4682" w:hanging="360"/>
      </w:pPr>
    </w:lvl>
    <w:lvl w:ilvl="5" w:tentative="0">
      <w:start w:val="1"/>
      <w:numFmt w:val="lowerRoman"/>
      <w:lvlText w:val="%6."/>
      <w:lvlJc w:val="right"/>
      <w:pPr>
        <w:ind w:left="5402" w:hanging="180"/>
      </w:pPr>
    </w:lvl>
    <w:lvl w:ilvl="6" w:tentative="0">
      <w:start w:val="1"/>
      <w:numFmt w:val="decimal"/>
      <w:lvlText w:val="%7."/>
      <w:lvlJc w:val="left"/>
      <w:pPr>
        <w:ind w:left="6122" w:hanging="360"/>
      </w:pPr>
    </w:lvl>
    <w:lvl w:ilvl="7" w:tentative="0">
      <w:start w:val="1"/>
      <w:numFmt w:val="lowerLetter"/>
      <w:lvlText w:val="%8."/>
      <w:lvlJc w:val="left"/>
      <w:pPr>
        <w:ind w:left="6842" w:hanging="360"/>
      </w:pPr>
    </w:lvl>
    <w:lvl w:ilvl="8" w:tentative="0">
      <w:start w:val="1"/>
      <w:numFmt w:val="lowerRoman"/>
      <w:lvlText w:val="%9."/>
      <w:lvlJc w:val="right"/>
      <w:pPr>
        <w:ind w:left="7562" w:hanging="180"/>
      </w:pPr>
    </w:lvl>
  </w:abstractNum>
  <w:abstractNum w:abstractNumId="14">
    <w:nsid w:val="1659102E"/>
    <w:multiLevelType w:val="multilevel"/>
    <w:tmpl w:val="1659102E"/>
    <w:lvl w:ilvl="0" w:tentative="0">
      <w:start w:val="1"/>
      <w:numFmt w:val="decimal"/>
      <w:lvlText w:val="%1."/>
      <w:lvlJc w:val="left"/>
      <w:pPr>
        <w:ind w:left="1080" w:hanging="360"/>
      </w:pPr>
      <w:rPr>
        <w:rFonts w:hint="default"/>
      </w:rPr>
    </w:lvl>
    <w:lvl w:ilvl="1" w:tentative="0">
      <w:start w:val="2"/>
      <w:numFmt w:val="decimal"/>
      <w:isLgl/>
      <w:lvlText w:val="%1.%2."/>
      <w:lvlJc w:val="left"/>
      <w:pPr>
        <w:ind w:left="1470" w:hanging="720"/>
      </w:pPr>
      <w:rPr>
        <w:rFonts w:hint="default" w:eastAsia="Times New Roman"/>
        <w:b/>
        <w:color w:val="auto"/>
      </w:rPr>
    </w:lvl>
    <w:lvl w:ilvl="2" w:tentative="0">
      <w:start w:val="1"/>
      <w:numFmt w:val="decimal"/>
      <w:isLgl/>
      <w:lvlText w:val="%1.%2.%3."/>
      <w:lvlJc w:val="left"/>
      <w:pPr>
        <w:ind w:left="1500" w:hanging="720"/>
      </w:pPr>
      <w:rPr>
        <w:rFonts w:hint="default" w:eastAsia="Times New Roman"/>
        <w:b/>
        <w:color w:val="auto"/>
      </w:rPr>
    </w:lvl>
    <w:lvl w:ilvl="3" w:tentative="0">
      <w:start w:val="1"/>
      <w:numFmt w:val="decimal"/>
      <w:isLgl/>
      <w:lvlText w:val="%1.%2.%3.%4."/>
      <w:lvlJc w:val="left"/>
      <w:pPr>
        <w:ind w:left="1890" w:hanging="1080"/>
      </w:pPr>
      <w:rPr>
        <w:rFonts w:hint="default" w:eastAsia="Times New Roman"/>
        <w:b/>
        <w:color w:val="auto"/>
      </w:rPr>
    </w:lvl>
    <w:lvl w:ilvl="4" w:tentative="0">
      <w:start w:val="1"/>
      <w:numFmt w:val="decimal"/>
      <w:isLgl/>
      <w:lvlText w:val="%1.%2.%3.%4.%5."/>
      <w:lvlJc w:val="left"/>
      <w:pPr>
        <w:ind w:left="1920" w:hanging="1080"/>
      </w:pPr>
      <w:rPr>
        <w:rFonts w:hint="default" w:eastAsia="Times New Roman"/>
        <w:b/>
        <w:color w:val="auto"/>
      </w:rPr>
    </w:lvl>
    <w:lvl w:ilvl="5" w:tentative="0">
      <w:start w:val="1"/>
      <w:numFmt w:val="decimal"/>
      <w:isLgl/>
      <w:lvlText w:val="%1.%2.%3.%4.%5.%6."/>
      <w:lvlJc w:val="left"/>
      <w:pPr>
        <w:ind w:left="2310" w:hanging="1440"/>
      </w:pPr>
      <w:rPr>
        <w:rFonts w:hint="default" w:eastAsia="Times New Roman"/>
        <w:b/>
        <w:color w:val="auto"/>
      </w:rPr>
    </w:lvl>
    <w:lvl w:ilvl="6" w:tentative="0">
      <w:start w:val="1"/>
      <w:numFmt w:val="decimal"/>
      <w:isLgl/>
      <w:lvlText w:val="%1.%2.%3.%4.%5.%6.%7."/>
      <w:lvlJc w:val="left"/>
      <w:pPr>
        <w:ind w:left="2340" w:hanging="1440"/>
      </w:pPr>
      <w:rPr>
        <w:rFonts w:hint="default" w:eastAsia="Times New Roman"/>
        <w:b/>
        <w:color w:val="auto"/>
      </w:rPr>
    </w:lvl>
    <w:lvl w:ilvl="7" w:tentative="0">
      <w:start w:val="1"/>
      <w:numFmt w:val="decimal"/>
      <w:isLgl/>
      <w:lvlText w:val="%1.%2.%3.%4.%5.%6.%7.%8."/>
      <w:lvlJc w:val="left"/>
      <w:pPr>
        <w:ind w:left="2730" w:hanging="1800"/>
      </w:pPr>
      <w:rPr>
        <w:rFonts w:hint="default" w:eastAsia="Times New Roman"/>
        <w:b/>
        <w:color w:val="auto"/>
      </w:rPr>
    </w:lvl>
    <w:lvl w:ilvl="8" w:tentative="0">
      <w:start w:val="1"/>
      <w:numFmt w:val="decimal"/>
      <w:isLgl/>
      <w:lvlText w:val="%1.%2.%3.%4.%5.%6.%7.%8.%9."/>
      <w:lvlJc w:val="left"/>
      <w:pPr>
        <w:ind w:left="3120" w:hanging="2160"/>
      </w:pPr>
      <w:rPr>
        <w:rFonts w:hint="default" w:eastAsia="Times New Roman"/>
        <w:b/>
        <w:color w:val="auto"/>
      </w:rPr>
    </w:lvl>
  </w:abstractNum>
  <w:abstractNum w:abstractNumId="15">
    <w:nsid w:val="18DF67B6"/>
    <w:multiLevelType w:val="multilevel"/>
    <w:tmpl w:val="18DF67B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19E22236"/>
    <w:multiLevelType w:val="multilevel"/>
    <w:tmpl w:val="19E2223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1E8D3464"/>
    <w:multiLevelType w:val="multilevel"/>
    <w:tmpl w:val="1E8D346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1FA40480"/>
    <w:multiLevelType w:val="multilevel"/>
    <w:tmpl w:val="1FA40480"/>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06D1F3A"/>
    <w:multiLevelType w:val="multilevel"/>
    <w:tmpl w:val="206D1F3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12E1E8D"/>
    <w:multiLevelType w:val="multilevel"/>
    <w:tmpl w:val="212E1E8D"/>
    <w:lvl w:ilvl="0" w:tentative="0">
      <w:start w:val="1"/>
      <w:numFmt w:val="bullet"/>
      <w:lvlText w:val="-"/>
      <w:lvlJc w:val="left"/>
      <w:pPr>
        <w:tabs>
          <w:tab w:val="left" w:pos="720"/>
        </w:tabs>
        <w:ind w:left="720" w:hanging="360"/>
      </w:pPr>
      <w:rPr>
        <w:rFonts w:hint="default" w:ascii="Calibri" w:hAnsi="Calibri"/>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24854C1B"/>
    <w:multiLevelType w:val="multilevel"/>
    <w:tmpl w:val="24854C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48A0E33"/>
    <w:multiLevelType w:val="multilevel"/>
    <w:tmpl w:val="248A0E33"/>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5BF5869"/>
    <w:multiLevelType w:val="multilevel"/>
    <w:tmpl w:val="25BF586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4">
    <w:nsid w:val="262C14CB"/>
    <w:multiLevelType w:val="multilevel"/>
    <w:tmpl w:val="262C14C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6C57F6A"/>
    <w:multiLevelType w:val="multilevel"/>
    <w:tmpl w:val="26C57F6A"/>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81D1E44"/>
    <w:multiLevelType w:val="multilevel"/>
    <w:tmpl w:val="281D1E44"/>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BFF7E7B"/>
    <w:multiLevelType w:val="multilevel"/>
    <w:tmpl w:val="2BFF7E7B"/>
    <w:lvl w:ilvl="0" w:tentative="0">
      <w:start w:val="1"/>
      <w:numFmt w:val="lowerLetter"/>
      <w:lvlText w:val="(%1)"/>
      <w:lvlJc w:val="left"/>
      <w:pPr>
        <w:ind w:left="2535" w:hanging="1095"/>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8">
    <w:nsid w:val="2DC11128"/>
    <w:multiLevelType w:val="multilevel"/>
    <w:tmpl w:val="2DC11128"/>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F4E129B"/>
    <w:multiLevelType w:val="multilevel"/>
    <w:tmpl w:val="2F4E129B"/>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05A1971"/>
    <w:multiLevelType w:val="multilevel"/>
    <w:tmpl w:val="305A1971"/>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15250BC"/>
    <w:multiLevelType w:val="multilevel"/>
    <w:tmpl w:val="315250BC"/>
    <w:lvl w:ilvl="0" w:tentative="0">
      <w:start w:val="1"/>
      <w:numFmt w:val="lowerLetter"/>
      <w:lvlText w:val="%1."/>
      <w:lvlJc w:val="left"/>
      <w:pPr>
        <w:ind w:left="746" w:hanging="720"/>
      </w:pPr>
      <w:rPr>
        <w:rFonts w:hint="default"/>
      </w:rPr>
    </w:lvl>
    <w:lvl w:ilvl="1" w:tentative="0">
      <w:start w:val="1"/>
      <w:numFmt w:val="lowerLetter"/>
      <w:lvlText w:val="%2."/>
      <w:lvlJc w:val="left"/>
      <w:pPr>
        <w:ind w:left="1106" w:hanging="360"/>
      </w:pPr>
    </w:lvl>
    <w:lvl w:ilvl="2" w:tentative="0">
      <w:start w:val="1"/>
      <w:numFmt w:val="lowerRoman"/>
      <w:lvlText w:val="%3."/>
      <w:lvlJc w:val="right"/>
      <w:pPr>
        <w:ind w:left="1826" w:hanging="180"/>
      </w:pPr>
    </w:lvl>
    <w:lvl w:ilvl="3" w:tentative="0">
      <w:start w:val="1"/>
      <w:numFmt w:val="decimal"/>
      <w:lvlText w:val="%4."/>
      <w:lvlJc w:val="left"/>
      <w:pPr>
        <w:ind w:left="2546" w:hanging="360"/>
      </w:pPr>
    </w:lvl>
    <w:lvl w:ilvl="4" w:tentative="0">
      <w:start w:val="1"/>
      <w:numFmt w:val="lowerLetter"/>
      <w:lvlText w:val="%5."/>
      <w:lvlJc w:val="left"/>
      <w:pPr>
        <w:ind w:left="3266" w:hanging="360"/>
      </w:pPr>
    </w:lvl>
    <w:lvl w:ilvl="5" w:tentative="0">
      <w:start w:val="1"/>
      <w:numFmt w:val="lowerRoman"/>
      <w:lvlText w:val="%6."/>
      <w:lvlJc w:val="right"/>
      <w:pPr>
        <w:ind w:left="3986" w:hanging="180"/>
      </w:pPr>
    </w:lvl>
    <w:lvl w:ilvl="6" w:tentative="0">
      <w:start w:val="1"/>
      <w:numFmt w:val="decimal"/>
      <w:lvlText w:val="%7."/>
      <w:lvlJc w:val="left"/>
      <w:pPr>
        <w:ind w:left="4706" w:hanging="360"/>
      </w:pPr>
    </w:lvl>
    <w:lvl w:ilvl="7" w:tentative="0">
      <w:start w:val="1"/>
      <w:numFmt w:val="lowerLetter"/>
      <w:lvlText w:val="%8."/>
      <w:lvlJc w:val="left"/>
      <w:pPr>
        <w:ind w:left="5426" w:hanging="360"/>
      </w:pPr>
    </w:lvl>
    <w:lvl w:ilvl="8" w:tentative="0">
      <w:start w:val="1"/>
      <w:numFmt w:val="lowerRoman"/>
      <w:lvlText w:val="%9."/>
      <w:lvlJc w:val="right"/>
      <w:pPr>
        <w:ind w:left="6146" w:hanging="180"/>
      </w:pPr>
    </w:lvl>
  </w:abstractNum>
  <w:abstractNum w:abstractNumId="32">
    <w:nsid w:val="366D351D"/>
    <w:multiLevelType w:val="multilevel"/>
    <w:tmpl w:val="366D351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3">
    <w:nsid w:val="3EA167D1"/>
    <w:multiLevelType w:val="multilevel"/>
    <w:tmpl w:val="3EA167D1"/>
    <w:lvl w:ilvl="0" w:tentative="0">
      <w:start w:val="1"/>
      <w:numFmt w:val="bullet"/>
      <w:lvlText w:val="-"/>
      <w:lvlJc w:val="left"/>
      <w:pPr>
        <w:ind w:left="720" w:hanging="360"/>
      </w:pPr>
      <w:rPr>
        <w:rFonts w:hint="default" w:ascii="Calibri" w:hAnsi="Calibri"/>
      </w:rPr>
    </w:lvl>
    <w:lvl w:ilvl="1" w:tentative="0">
      <w:start w:val="1"/>
      <w:numFmt w:val="bullet"/>
      <w:lvlText w:val="-"/>
      <w:lvlJc w:val="left"/>
      <w:pPr>
        <w:ind w:left="1440" w:hanging="360"/>
      </w:pPr>
      <w:rPr>
        <w:rFonts w:hint="default" w:ascii="Calibri" w:hAnsi="Calibr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235405F"/>
    <w:multiLevelType w:val="multilevel"/>
    <w:tmpl w:val="4235405F"/>
    <w:lvl w:ilvl="0" w:tentative="0">
      <w:start w:val="1"/>
      <w:numFmt w:val="lowerLetter"/>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3E141C4"/>
    <w:multiLevelType w:val="multilevel"/>
    <w:tmpl w:val="43E141C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6">
    <w:nsid w:val="4914443A"/>
    <w:multiLevelType w:val="multilevel"/>
    <w:tmpl w:val="4914443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37">
    <w:nsid w:val="49A16489"/>
    <w:multiLevelType w:val="multilevel"/>
    <w:tmpl w:val="49A16489"/>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D6C7CCD"/>
    <w:multiLevelType w:val="multilevel"/>
    <w:tmpl w:val="4D6C7CCD"/>
    <w:lvl w:ilvl="0" w:tentative="0">
      <w:start w:val="1"/>
      <w:numFmt w:val="lowerLetter"/>
      <w:lvlText w:val="%1."/>
      <w:lvlJc w:val="left"/>
      <w:pPr>
        <w:ind w:left="643" w:hanging="360"/>
      </w:pPr>
      <w:rPr>
        <w:b/>
        <w:i/>
      </w:rPr>
    </w:lvl>
    <w:lvl w:ilvl="1" w:tentative="0">
      <w:start w:val="1"/>
      <w:numFmt w:val="bullet"/>
      <w:lvlText w:val=""/>
      <w:lvlJc w:val="left"/>
      <w:pPr>
        <w:ind w:left="1440" w:hanging="360"/>
      </w:pPr>
      <w:rPr>
        <w:rFonts w:hint="default" w:ascii="Symbol" w:hAnsi="Symbol"/>
      </w:rPr>
    </w:lvl>
    <w:lvl w:ilvl="2" w:tentative="0">
      <w:start w:val="1"/>
      <w:numFmt w:val="decimal"/>
      <w:lvlText w:val="%3)"/>
      <w:lvlJc w:val="lef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4E35100F"/>
    <w:multiLevelType w:val="multilevel"/>
    <w:tmpl w:val="4E3510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0A76719"/>
    <w:multiLevelType w:val="multilevel"/>
    <w:tmpl w:val="50A7671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52124FB7"/>
    <w:multiLevelType w:val="multilevel"/>
    <w:tmpl w:val="52124F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2A53B1F"/>
    <w:multiLevelType w:val="multilevel"/>
    <w:tmpl w:val="52A53B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42F62A3"/>
    <w:multiLevelType w:val="multilevel"/>
    <w:tmpl w:val="542F62A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5027BDC"/>
    <w:multiLevelType w:val="multilevel"/>
    <w:tmpl w:val="55027BDC"/>
    <w:lvl w:ilvl="0" w:tentative="0">
      <w:start w:val="1"/>
      <w:numFmt w:val="bullet"/>
      <w:lvlText w:val=""/>
      <w:lvlJc w:val="left"/>
      <w:pPr>
        <w:ind w:left="720" w:hanging="360"/>
      </w:pPr>
      <w:rPr>
        <w:rFonts w:hint="default" w:ascii="Wingdings" w:hAnsi="Wingding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613618B"/>
    <w:multiLevelType w:val="multilevel"/>
    <w:tmpl w:val="5613618B"/>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46">
    <w:nsid w:val="5AFD5FA5"/>
    <w:multiLevelType w:val="multilevel"/>
    <w:tmpl w:val="5AFD5FA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7">
    <w:nsid w:val="5BF75341"/>
    <w:multiLevelType w:val="multilevel"/>
    <w:tmpl w:val="5BF75341"/>
    <w:lvl w:ilvl="0" w:tentative="0">
      <w:start w:val="1"/>
      <w:numFmt w:val="bullet"/>
      <w:lvlText w:val="-"/>
      <w:lvlJc w:val="left"/>
      <w:pPr>
        <w:tabs>
          <w:tab w:val="left" w:pos="720"/>
        </w:tabs>
        <w:ind w:left="720" w:hanging="360"/>
      </w:pPr>
      <w:rPr>
        <w:rFonts w:hint="default" w:ascii="Calibri" w:hAnsi="Calibri"/>
      </w:rPr>
    </w:lvl>
    <w:lvl w:ilvl="1" w:tentative="0">
      <w:start w:val="1"/>
      <w:numFmt w:val="bullet"/>
      <w:lvlText w:val="-"/>
      <w:lvlJc w:val="left"/>
      <w:pPr>
        <w:tabs>
          <w:tab w:val="left" w:pos="1440"/>
        </w:tabs>
        <w:ind w:left="1440" w:hanging="360"/>
      </w:pPr>
      <w:rPr>
        <w:rFonts w:hint="default" w:ascii="Calibri" w:hAnsi="Calibri"/>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Calibri" w:hAnsi="Calibri"/>
      </w:rPr>
    </w:lvl>
    <w:lvl w:ilvl="4" w:tentative="0">
      <w:start w:val="1"/>
      <w:numFmt w:val="bullet"/>
      <w:lvlText w:val="-"/>
      <w:lvlJc w:val="left"/>
      <w:pPr>
        <w:tabs>
          <w:tab w:val="left" w:pos="3600"/>
        </w:tabs>
        <w:ind w:left="3600" w:hanging="360"/>
      </w:pPr>
      <w:rPr>
        <w:rFonts w:hint="default" w:ascii="Calibri" w:hAnsi="Calibri"/>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Calibri" w:hAnsi="Calibri"/>
      </w:rPr>
    </w:lvl>
    <w:lvl w:ilvl="7" w:tentative="0">
      <w:start w:val="1"/>
      <w:numFmt w:val="bullet"/>
      <w:lvlText w:val="-"/>
      <w:lvlJc w:val="left"/>
      <w:pPr>
        <w:tabs>
          <w:tab w:val="left" w:pos="5760"/>
        </w:tabs>
        <w:ind w:left="5760" w:hanging="360"/>
      </w:pPr>
      <w:rPr>
        <w:rFonts w:hint="default" w:ascii="Calibri" w:hAnsi="Calibri"/>
      </w:rPr>
    </w:lvl>
    <w:lvl w:ilvl="8" w:tentative="0">
      <w:start w:val="1"/>
      <w:numFmt w:val="bullet"/>
      <w:lvlText w:val="-"/>
      <w:lvlJc w:val="left"/>
      <w:pPr>
        <w:tabs>
          <w:tab w:val="left" w:pos="6480"/>
        </w:tabs>
        <w:ind w:left="6480" w:hanging="360"/>
      </w:pPr>
      <w:rPr>
        <w:rFonts w:hint="default" w:ascii="Calibri" w:hAnsi="Calibri"/>
      </w:rPr>
    </w:lvl>
  </w:abstractNum>
  <w:abstractNum w:abstractNumId="48">
    <w:nsid w:val="5CFC740D"/>
    <w:multiLevelType w:val="multilevel"/>
    <w:tmpl w:val="5CFC740D"/>
    <w:lvl w:ilvl="0" w:tentative="0">
      <w:start w:val="1"/>
      <w:numFmt w:val="bullet"/>
      <w:lvlText w:val="-"/>
      <w:lvlJc w:val="left"/>
      <w:pPr>
        <w:ind w:left="570" w:hanging="360"/>
      </w:pPr>
      <w:rPr>
        <w:rFonts w:hint="default" w:ascii="Calibri" w:hAnsi="Calibri"/>
      </w:rPr>
    </w:lvl>
    <w:lvl w:ilvl="1" w:tentative="0">
      <w:start w:val="1"/>
      <w:numFmt w:val="bullet"/>
      <w:lvlText w:val="o"/>
      <w:lvlJc w:val="left"/>
      <w:pPr>
        <w:ind w:left="1290" w:hanging="360"/>
      </w:pPr>
      <w:rPr>
        <w:rFonts w:hint="default" w:ascii="Courier New" w:hAnsi="Courier New" w:cs="Courier New"/>
      </w:rPr>
    </w:lvl>
    <w:lvl w:ilvl="2" w:tentative="0">
      <w:start w:val="1"/>
      <w:numFmt w:val="bullet"/>
      <w:lvlText w:val=""/>
      <w:lvlJc w:val="left"/>
      <w:pPr>
        <w:ind w:left="2010" w:hanging="360"/>
      </w:pPr>
      <w:rPr>
        <w:rFonts w:hint="default" w:ascii="Wingdings" w:hAnsi="Wingdings"/>
      </w:rPr>
    </w:lvl>
    <w:lvl w:ilvl="3" w:tentative="0">
      <w:start w:val="1"/>
      <w:numFmt w:val="bullet"/>
      <w:lvlText w:val=""/>
      <w:lvlJc w:val="left"/>
      <w:pPr>
        <w:ind w:left="2730" w:hanging="360"/>
      </w:pPr>
      <w:rPr>
        <w:rFonts w:hint="default" w:ascii="Symbol" w:hAnsi="Symbol"/>
      </w:rPr>
    </w:lvl>
    <w:lvl w:ilvl="4" w:tentative="0">
      <w:start w:val="1"/>
      <w:numFmt w:val="bullet"/>
      <w:lvlText w:val="o"/>
      <w:lvlJc w:val="left"/>
      <w:pPr>
        <w:ind w:left="3450" w:hanging="360"/>
      </w:pPr>
      <w:rPr>
        <w:rFonts w:hint="default" w:ascii="Courier New" w:hAnsi="Courier New" w:cs="Courier New"/>
      </w:rPr>
    </w:lvl>
    <w:lvl w:ilvl="5" w:tentative="0">
      <w:start w:val="1"/>
      <w:numFmt w:val="bullet"/>
      <w:lvlText w:val=""/>
      <w:lvlJc w:val="left"/>
      <w:pPr>
        <w:ind w:left="4170" w:hanging="360"/>
      </w:pPr>
      <w:rPr>
        <w:rFonts w:hint="default" w:ascii="Wingdings" w:hAnsi="Wingdings"/>
      </w:rPr>
    </w:lvl>
    <w:lvl w:ilvl="6" w:tentative="0">
      <w:start w:val="1"/>
      <w:numFmt w:val="bullet"/>
      <w:lvlText w:val=""/>
      <w:lvlJc w:val="left"/>
      <w:pPr>
        <w:ind w:left="4890" w:hanging="360"/>
      </w:pPr>
      <w:rPr>
        <w:rFonts w:hint="default" w:ascii="Symbol" w:hAnsi="Symbol"/>
      </w:rPr>
    </w:lvl>
    <w:lvl w:ilvl="7" w:tentative="0">
      <w:start w:val="1"/>
      <w:numFmt w:val="bullet"/>
      <w:lvlText w:val="o"/>
      <w:lvlJc w:val="left"/>
      <w:pPr>
        <w:ind w:left="5610" w:hanging="360"/>
      </w:pPr>
      <w:rPr>
        <w:rFonts w:hint="default" w:ascii="Courier New" w:hAnsi="Courier New" w:cs="Courier New"/>
      </w:rPr>
    </w:lvl>
    <w:lvl w:ilvl="8" w:tentative="0">
      <w:start w:val="1"/>
      <w:numFmt w:val="bullet"/>
      <w:lvlText w:val=""/>
      <w:lvlJc w:val="left"/>
      <w:pPr>
        <w:ind w:left="6330" w:hanging="360"/>
      </w:pPr>
      <w:rPr>
        <w:rFonts w:hint="default" w:ascii="Wingdings" w:hAnsi="Wingdings"/>
      </w:rPr>
    </w:lvl>
  </w:abstractNum>
  <w:abstractNum w:abstractNumId="49">
    <w:nsid w:val="65826C61"/>
    <w:multiLevelType w:val="multilevel"/>
    <w:tmpl w:val="65826C6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0">
    <w:nsid w:val="65E95ED6"/>
    <w:multiLevelType w:val="multilevel"/>
    <w:tmpl w:val="65E95ED6"/>
    <w:lvl w:ilvl="0" w:tentative="0">
      <w:start w:val="1"/>
      <w:numFmt w:val="bullet"/>
      <w:lvlText w:val="-"/>
      <w:lvlJc w:val="left"/>
      <w:pPr>
        <w:ind w:left="907" w:hanging="360"/>
      </w:pPr>
      <w:rPr>
        <w:rFonts w:hint="default" w:ascii="Calibri" w:hAnsi="Calibri"/>
      </w:rPr>
    </w:lvl>
    <w:lvl w:ilvl="1" w:tentative="0">
      <w:start w:val="1"/>
      <w:numFmt w:val="bullet"/>
      <w:lvlText w:val="o"/>
      <w:lvlJc w:val="left"/>
      <w:pPr>
        <w:ind w:left="1627" w:hanging="360"/>
      </w:pPr>
      <w:rPr>
        <w:rFonts w:hint="default" w:ascii="Courier New" w:hAnsi="Courier New" w:cs="Courier New"/>
      </w:rPr>
    </w:lvl>
    <w:lvl w:ilvl="2" w:tentative="0">
      <w:start w:val="1"/>
      <w:numFmt w:val="bullet"/>
      <w:lvlText w:val=""/>
      <w:lvlJc w:val="left"/>
      <w:pPr>
        <w:ind w:left="2347" w:hanging="360"/>
      </w:pPr>
      <w:rPr>
        <w:rFonts w:hint="default" w:ascii="Wingdings" w:hAnsi="Wingdings"/>
      </w:rPr>
    </w:lvl>
    <w:lvl w:ilvl="3" w:tentative="0">
      <w:start w:val="1"/>
      <w:numFmt w:val="bullet"/>
      <w:lvlText w:val=""/>
      <w:lvlJc w:val="left"/>
      <w:pPr>
        <w:ind w:left="3067" w:hanging="360"/>
      </w:pPr>
      <w:rPr>
        <w:rFonts w:hint="default" w:ascii="Symbol" w:hAnsi="Symbol"/>
      </w:rPr>
    </w:lvl>
    <w:lvl w:ilvl="4" w:tentative="0">
      <w:start w:val="1"/>
      <w:numFmt w:val="bullet"/>
      <w:lvlText w:val="o"/>
      <w:lvlJc w:val="left"/>
      <w:pPr>
        <w:ind w:left="3787" w:hanging="360"/>
      </w:pPr>
      <w:rPr>
        <w:rFonts w:hint="default" w:ascii="Courier New" w:hAnsi="Courier New" w:cs="Courier New"/>
      </w:rPr>
    </w:lvl>
    <w:lvl w:ilvl="5" w:tentative="0">
      <w:start w:val="1"/>
      <w:numFmt w:val="bullet"/>
      <w:lvlText w:val=""/>
      <w:lvlJc w:val="left"/>
      <w:pPr>
        <w:ind w:left="4507" w:hanging="360"/>
      </w:pPr>
      <w:rPr>
        <w:rFonts w:hint="default" w:ascii="Wingdings" w:hAnsi="Wingdings"/>
      </w:rPr>
    </w:lvl>
    <w:lvl w:ilvl="6" w:tentative="0">
      <w:start w:val="1"/>
      <w:numFmt w:val="bullet"/>
      <w:lvlText w:val=""/>
      <w:lvlJc w:val="left"/>
      <w:pPr>
        <w:ind w:left="5227" w:hanging="360"/>
      </w:pPr>
      <w:rPr>
        <w:rFonts w:hint="default" w:ascii="Symbol" w:hAnsi="Symbol"/>
      </w:rPr>
    </w:lvl>
    <w:lvl w:ilvl="7" w:tentative="0">
      <w:start w:val="1"/>
      <w:numFmt w:val="bullet"/>
      <w:lvlText w:val="o"/>
      <w:lvlJc w:val="left"/>
      <w:pPr>
        <w:ind w:left="5947" w:hanging="360"/>
      </w:pPr>
      <w:rPr>
        <w:rFonts w:hint="default" w:ascii="Courier New" w:hAnsi="Courier New" w:cs="Courier New"/>
      </w:rPr>
    </w:lvl>
    <w:lvl w:ilvl="8" w:tentative="0">
      <w:start w:val="1"/>
      <w:numFmt w:val="bullet"/>
      <w:lvlText w:val=""/>
      <w:lvlJc w:val="left"/>
      <w:pPr>
        <w:ind w:left="6667" w:hanging="360"/>
      </w:pPr>
      <w:rPr>
        <w:rFonts w:hint="default" w:ascii="Wingdings" w:hAnsi="Wingdings"/>
      </w:rPr>
    </w:lvl>
  </w:abstractNum>
  <w:abstractNum w:abstractNumId="51">
    <w:nsid w:val="66D13AB8"/>
    <w:multiLevelType w:val="multilevel"/>
    <w:tmpl w:val="66D13AB8"/>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8670097"/>
    <w:multiLevelType w:val="multilevel"/>
    <w:tmpl w:val="6867009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3">
    <w:nsid w:val="6B0A3E53"/>
    <w:multiLevelType w:val="multilevel"/>
    <w:tmpl w:val="6B0A3E5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6B833FEB"/>
    <w:multiLevelType w:val="multilevel"/>
    <w:tmpl w:val="6B833FEB"/>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5">
    <w:nsid w:val="6C2C3490"/>
    <w:multiLevelType w:val="multilevel"/>
    <w:tmpl w:val="6C2C3490"/>
    <w:lvl w:ilvl="0" w:tentative="0">
      <w:start w:val="1"/>
      <w:numFmt w:val="bullet"/>
      <w:lvlText w:val="-"/>
      <w:lvlJc w:val="left"/>
      <w:pPr>
        <w:ind w:left="907" w:hanging="360"/>
      </w:pPr>
      <w:rPr>
        <w:rFonts w:hint="default" w:ascii="Calibri" w:hAnsi="Calibri"/>
      </w:rPr>
    </w:lvl>
    <w:lvl w:ilvl="1" w:tentative="0">
      <w:start w:val="1"/>
      <w:numFmt w:val="bullet"/>
      <w:lvlText w:val="o"/>
      <w:lvlJc w:val="left"/>
      <w:pPr>
        <w:ind w:left="1627" w:hanging="360"/>
      </w:pPr>
      <w:rPr>
        <w:rFonts w:hint="default" w:ascii="Courier New" w:hAnsi="Courier New" w:cs="Courier New"/>
      </w:rPr>
    </w:lvl>
    <w:lvl w:ilvl="2" w:tentative="0">
      <w:start w:val="1"/>
      <w:numFmt w:val="bullet"/>
      <w:lvlText w:val=""/>
      <w:lvlJc w:val="left"/>
      <w:pPr>
        <w:ind w:left="2347" w:hanging="360"/>
      </w:pPr>
      <w:rPr>
        <w:rFonts w:hint="default" w:ascii="Wingdings" w:hAnsi="Wingdings"/>
      </w:rPr>
    </w:lvl>
    <w:lvl w:ilvl="3" w:tentative="0">
      <w:start w:val="1"/>
      <w:numFmt w:val="bullet"/>
      <w:lvlText w:val=""/>
      <w:lvlJc w:val="left"/>
      <w:pPr>
        <w:ind w:left="3067" w:hanging="360"/>
      </w:pPr>
      <w:rPr>
        <w:rFonts w:hint="default" w:ascii="Symbol" w:hAnsi="Symbol"/>
      </w:rPr>
    </w:lvl>
    <w:lvl w:ilvl="4" w:tentative="0">
      <w:start w:val="1"/>
      <w:numFmt w:val="bullet"/>
      <w:lvlText w:val="o"/>
      <w:lvlJc w:val="left"/>
      <w:pPr>
        <w:ind w:left="3787" w:hanging="360"/>
      </w:pPr>
      <w:rPr>
        <w:rFonts w:hint="default" w:ascii="Courier New" w:hAnsi="Courier New" w:cs="Courier New"/>
      </w:rPr>
    </w:lvl>
    <w:lvl w:ilvl="5" w:tentative="0">
      <w:start w:val="1"/>
      <w:numFmt w:val="bullet"/>
      <w:lvlText w:val=""/>
      <w:lvlJc w:val="left"/>
      <w:pPr>
        <w:ind w:left="4507" w:hanging="360"/>
      </w:pPr>
      <w:rPr>
        <w:rFonts w:hint="default" w:ascii="Wingdings" w:hAnsi="Wingdings"/>
      </w:rPr>
    </w:lvl>
    <w:lvl w:ilvl="6" w:tentative="0">
      <w:start w:val="1"/>
      <w:numFmt w:val="bullet"/>
      <w:lvlText w:val=""/>
      <w:lvlJc w:val="left"/>
      <w:pPr>
        <w:ind w:left="5227" w:hanging="360"/>
      </w:pPr>
      <w:rPr>
        <w:rFonts w:hint="default" w:ascii="Symbol" w:hAnsi="Symbol"/>
      </w:rPr>
    </w:lvl>
    <w:lvl w:ilvl="7" w:tentative="0">
      <w:start w:val="1"/>
      <w:numFmt w:val="bullet"/>
      <w:lvlText w:val="o"/>
      <w:lvlJc w:val="left"/>
      <w:pPr>
        <w:ind w:left="5947" w:hanging="360"/>
      </w:pPr>
      <w:rPr>
        <w:rFonts w:hint="default" w:ascii="Courier New" w:hAnsi="Courier New" w:cs="Courier New"/>
      </w:rPr>
    </w:lvl>
    <w:lvl w:ilvl="8" w:tentative="0">
      <w:start w:val="1"/>
      <w:numFmt w:val="bullet"/>
      <w:lvlText w:val=""/>
      <w:lvlJc w:val="left"/>
      <w:pPr>
        <w:ind w:left="6667" w:hanging="360"/>
      </w:pPr>
      <w:rPr>
        <w:rFonts w:hint="default" w:ascii="Wingdings" w:hAnsi="Wingdings"/>
      </w:rPr>
    </w:lvl>
  </w:abstractNum>
  <w:abstractNum w:abstractNumId="56">
    <w:nsid w:val="722A0AA2"/>
    <w:multiLevelType w:val="multilevel"/>
    <w:tmpl w:val="722A0AA2"/>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73BD675C"/>
    <w:multiLevelType w:val="multilevel"/>
    <w:tmpl w:val="73BD675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799926B5"/>
    <w:multiLevelType w:val="multilevel"/>
    <w:tmpl w:val="799926B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9">
    <w:nsid w:val="7A2538C2"/>
    <w:multiLevelType w:val="multilevel"/>
    <w:tmpl w:val="7A2538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C621299"/>
    <w:multiLevelType w:val="multilevel"/>
    <w:tmpl w:val="7C621299"/>
    <w:lvl w:ilvl="0" w:tentative="0">
      <w:start w:val="0"/>
      <w:numFmt w:val="bullet"/>
      <w:lvlText w:val="•"/>
      <w:lvlJc w:val="left"/>
      <w:pPr>
        <w:ind w:left="1080" w:hanging="720"/>
      </w:pPr>
      <w:rPr>
        <w:rFonts w:hint="default" w:ascii="Calibri" w:hAnsi="Calibri"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7FCD4148"/>
    <w:multiLevelType w:val="multilevel"/>
    <w:tmpl w:val="7FCD4148"/>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1"/>
  </w:num>
  <w:num w:numId="2">
    <w:abstractNumId w:val="34"/>
  </w:num>
  <w:num w:numId="3">
    <w:abstractNumId w:val="12"/>
  </w:num>
  <w:num w:numId="4">
    <w:abstractNumId w:val="35"/>
  </w:num>
  <w:num w:numId="5">
    <w:abstractNumId w:val="13"/>
  </w:num>
  <w:num w:numId="6">
    <w:abstractNumId w:val="6"/>
  </w:num>
  <w:num w:numId="7">
    <w:abstractNumId w:val="10"/>
  </w:num>
  <w:num w:numId="8">
    <w:abstractNumId w:val="14"/>
  </w:num>
  <w:num w:numId="9">
    <w:abstractNumId w:val="38"/>
  </w:num>
  <w:num w:numId="10">
    <w:abstractNumId w:val="9"/>
  </w:num>
  <w:num w:numId="11">
    <w:abstractNumId w:val="29"/>
  </w:num>
  <w:num w:numId="12">
    <w:abstractNumId w:val="16"/>
  </w:num>
  <w:num w:numId="13">
    <w:abstractNumId w:val="44"/>
  </w:num>
  <w:num w:numId="14">
    <w:abstractNumId w:val="57"/>
  </w:num>
  <w:num w:numId="15">
    <w:abstractNumId w:val="54"/>
  </w:num>
  <w:num w:numId="16">
    <w:abstractNumId w:val="24"/>
  </w:num>
  <w:num w:numId="17">
    <w:abstractNumId w:val="23"/>
  </w:num>
  <w:num w:numId="18">
    <w:abstractNumId w:val="1"/>
  </w:num>
  <w:num w:numId="19">
    <w:abstractNumId w:val="3"/>
  </w:num>
  <w:num w:numId="20">
    <w:abstractNumId w:val="36"/>
  </w:num>
  <w:num w:numId="21">
    <w:abstractNumId w:val="39"/>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59"/>
  </w:num>
  <w:num w:numId="25">
    <w:abstractNumId w:val="41"/>
  </w:num>
  <w:num w:numId="26">
    <w:abstractNumId w:val="6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1"/>
  </w:num>
  <w:num w:numId="30">
    <w:abstractNumId w:val="8"/>
  </w:num>
  <w:num w:numId="31">
    <w:abstractNumId w:val="17"/>
  </w:num>
  <w:num w:numId="32">
    <w:abstractNumId w:val="43"/>
  </w:num>
  <w:num w:numId="33">
    <w:abstractNumId w:val="19"/>
  </w:num>
  <w:num w:numId="34">
    <w:abstractNumId w:val="49"/>
  </w:num>
  <w:num w:numId="35">
    <w:abstractNumId w:val="15"/>
  </w:num>
  <w:num w:numId="36">
    <w:abstractNumId w:val="40"/>
  </w:num>
  <w:num w:numId="37">
    <w:abstractNumId w:val="46"/>
  </w:num>
  <w:num w:numId="38">
    <w:abstractNumId w:val="7"/>
  </w:num>
  <w:num w:numId="39">
    <w:abstractNumId w:val="52"/>
  </w:num>
  <w:num w:numId="40">
    <w:abstractNumId w:val="18"/>
  </w:num>
  <w:num w:numId="41">
    <w:abstractNumId w:val="61"/>
  </w:num>
  <w:num w:numId="42">
    <w:abstractNumId w:val="37"/>
  </w:num>
  <w:num w:numId="43">
    <w:abstractNumId w:val="48"/>
  </w:num>
  <w:num w:numId="44">
    <w:abstractNumId w:val="50"/>
  </w:num>
  <w:num w:numId="45">
    <w:abstractNumId w:val="2"/>
  </w:num>
  <w:num w:numId="46">
    <w:abstractNumId w:val="55"/>
  </w:num>
  <w:num w:numId="47">
    <w:abstractNumId w:val="58"/>
  </w:num>
  <w:num w:numId="48">
    <w:abstractNumId w:val="25"/>
  </w:num>
  <w:num w:numId="49">
    <w:abstractNumId w:val="20"/>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num>
  <w:num w:numId="52">
    <w:abstractNumId w:val="26"/>
  </w:num>
  <w:num w:numId="53">
    <w:abstractNumId w:val="33"/>
  </w:num>
  <w:num w:numId="54">
    <w:abstractNumId w:val="0"/>
  </w:num>
  <w:num w:numId="55">
    <w:abstractNumId w:val="32"/>
  </w:num>
  <w:num w:numId="56">
    <w:abstractNumId w:val="47"/>
  </w:num>
  <w:num w:numId="57">
    <w:abstractNumId w:val="22"/>
  </w:num>
  <w:num w:numId="58">
    <w:abstractNumId w:val="51"/>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D52"/>
    <w:rsid w:val="000018E0"/>
    <w:rsid w:val="00001AEB"/>
    <w:rsid w:val="0000478F"/>
    <w:rsid w:val="000077A1"/>
    <w:rsid w:val="00007A62"/>
    <w:rsid w:val="00010028"/>
    <w:rsid w:val="00011755"/>
    <w:rsid w:val="000155B8"/>
    <w:rsid w:val="00022393"/>
    <w:rsid w:val="00027239"/>
    <w:rsid w:val="000276B0"/>
    <w:rsid w:val="000305DB"/>
    <w:rsid w:val="00031B37"/>
    <w:rsid w:val="000322F6"/>
    <w:rsid w:val="00034A34"/>
    <w:rsid w:val="00035BAE"/>
    <w:rsid w:val="00036166"/>
    <w:rsid w:val="0003699B"/>
    <w:rsid w:val="0004005F"/>
    <w:rsid w:val="00044F4C"/>
    <w:rsid w:val="000501E6"/>
    <w:rsid w:val="00050A34"/>
    <w:rsid w:val="000524B1"/>
    <w:rsid w:val="00053194"/>
    <w:rsid w:val="0005388F"/>
    <w:rsid w:val="000547F7"/>
    <w:rsid w:val="00056AAA"/>
    <w:rsid w:val="00056F4D"/>
    <w:rsid w:val="00060E7C"/>
    <w:rsid w:val="0006105E"/>
    <w:rsid w:val="00061560"/>
    <w:rsid w:val="00061A28"/>
    <w:rsid w:val="00062438"/>
    <w:rsid w:val="00063964"/>
    <w:rsid w:val="00063979"/>
    <w:rsid w:val="00067355"/>
    <w:rsid w:val="00067686"/>
    <w:rsid w:val="00067C0C"/>
    <w:rsid w:val="00070DCA"/>
    <w:rsid w:val="00070E8E"/>
    <w:rsid w:val="00076D9B"/>
    <w:rsid w:val="000804A4"/>
    <w:rsid w:val="00082061"/>
    <w:rsid w:val="00084BFF"/>
    <w:rsid w:val="00085E51"/>
    <w:rsid w:val="0008675A"/>
    <w:rsid w:val="00090CEB"/>
    <w:rsid w:val="000914DA"/>
    <w:rsid w:val="00091E6C"/>
    <w:rsid w:val="00092C77"/>
    <w:rsid w:val="000958B0"/>
    <w:rsid w:val="00095A53"/>
    <w:rsid w:val="0009613B"/>
    <w:rsid w:val="000A1003"/>
    <w:rsid w:val="000A4D97"/>
    <w:rsid w:val="000A5D68"/>
    <w:rsid w:val="000B062E"/>
    <w:rsid w:val="000B289B"/>
    <w:rsid w:val="000B4D39"/>
    <w:rsid w:val="000B71CA"/>
    <w:rsid w:val="000B74E6"/>
    <w:rsid w:val="000C1E25"/>
    <w:rsid w:val="000C4FBB"/>
    <w:rsid w:val="000C56AA"/>
    <w:rsid w:val="000C5DE6"/>
    <w:rsid w:val="000C616E"/>
    <w:rsid w:val="000C71DD"/>
    <w:rsid w:val="000D14D8"/>
    <w:rsid w:val="000D4CDB"/>
    <w:rsid w:val="000D5772"/>
    <w:rsid w:val="000D6218"/>
    <w:rsid w:val="000D7901"/>
    <w:rsid w:val="000E024E"/>
    <w:rsid w:val="000E0FE2"/>
    <w:rsid w:val="000E5108"/>
    <w:rsid w:val="000E58E8"/>
    <w:rsid w:val="000E7850"/>
    <w:rsid w:val="000E7AC4"/>
    <w:rsid w:val="000F4A6A"/>
    <w:rsid w:val="000F75CA"/>
    <w:rsid w:val="001001E8"/>
    <w:rsid w:val="001011D5"/>
    <w:rsid w:val="00101DDC"/>
    <w:rsid w:val="00105CE7"/>
    <w:rsid w:val="00107375"/>
    <w:rsid w:val="00107D41"/>
    <w:rsid w:val="0011081B"/>
    <w:rsid w:val="00110B6A"/>
    <w:rsid w:val="00111B12"/>
    <w:rsid w:val="00114235"/>
    <w:rsid w:val="00114A09"/>
    <w:rsid w:val="0011580B"/>
    <w:rsid w:val="00123F6E"/>
    <w:rsid w:val="00127751"/>
    <w:rsid w:val="00127EC6"/>
    <w:rsid w:val="00130E6D"/>
    <w:rsid w:val="00132CF2"/>
    <w:rsid w:val="00133426"/>
    <w:rsid w:val="001352BC"/>
    <w:rsid w:val="001374EF"/>
    <w:rsid w:val="00137582"/>
    <w:rsid w:val="0014522B"/>
    <w:rsid w:val="0014640D"/>
    <w:rsid w:val="0015443A"/>
    <w:rsid w:val="00157F00"/>
    <w:rsid w:val="00162162"/>
    <w:rsid w:val="001644F2"/>
    <w:rsid w:val="00172D35"/>
    <w:rsid w:val="001746C9"/>
    <w:rsid w:val="00174BD2"/>
    <w:rsid w:val="001777C5"/>
    <w:rsid w:val="001850E0"/>
    <w:rsid w:val="001865DF"/>
    <w:rsid w:val="00190408"/>
    <w:rsid w:val="001919C7"/>
    <w:rsid w:val="00193F7C"/>
    <w:rsid w:val="00194A03"/>
    <w:rsid w:val="001A6C05"/>
    <w:rsid w:val="001A6E8E"/>
    <w:rsid w:val="001B70BB"/>
    <w:rsid w:val="001C2C9F"/>
    <w:rsid w:val="001D22E3"/>
    <w:rsid w:val="001D26D9"/>
    <w:rsid w:val="001D4EB9"/>
    <w:rsid w:val="001D7D52"/>
    <w:rsid w:val="001F0D19"/>
    <w:rsid w:val="001F642D"/>
    <w:rsid w:val="00201FE6"/>
    <w:rsid w:val="00203000"/>
    <w:rsid w:val="002148BD"/>
    <w:rsid w:val="00215328"/>
    <w:rsid w:val="002167FF"/>
    <w:rsid w:val="00220AF4"/>
    <w:rsid w:val="00223045"/>
    <w:rsid w:val="0022562E"/>
    <w:rsid w:val="00227C72"/>
    <w:rsid w:val="00230187"/>
    <w:rsid w:val="0023391C"/>
    <w:rsid w:val="00235145"/>
    <w:rsid w:val="002368E8"/>
    <w:rsid w:val="00236C9D"/>
    <w:rsid w:val="0024100B"/>
    <w:rsid w:val="00243AF7"/>
    <w:rsid w:val="00244524"/>
    <w:rsid w:val="00245021"/>
    <w:rsid w:val="002504E3"/>
    <w:rsid w:val="0025299B"/>
    <w:rsid w:val="00254F8A"/>
    <w:rsid w:val="00255D9F"/>
    <w:rsid w:val="00257377"/>
    <w:rsid w:val="00257697"/>
    <w:rsid w:val="002617A0"/>
    <w:rsid w:val="00262D8D"/>
    <w:rsid w:val="00264055"/>
    <w:rsid w:val="00265BBA"/>
    <w:rsid w:val="002670FD"/>
    <w:rsid w:val="002674E2"/>
    <w:rsid w:val="00274853"/>
    <w:rsid w:val="0027503D"/>
    <w:rsid w:val="00275373"/>
    <w:rsid w:val="00276EF5"/>
    <w:rsid w:val="00283604"/>
    <w:rsid w:val="00284D51"/>
    <w:rsid w:val="00287241"/>
    <w:rsid w:val="00291281"/>
    <w:rsid w:val="00291B5C"/>
    <w:rsid w:val="00292200"/>
    <w:rsid w:val="0029463D"/>
    <w:rsid w:val="00295CC9"/>
    <w:rsid w:val="00296387"/>
    <w:rsid w:val="0029658C"/>
    <w:rsid w:val="002A2266"/>
    <w:rsid w:val="002A2ECC"/>
    <w:rsid w:val="002A4218"/>
    <w:rsid w:val="002A5042"/>
    <w:rsid w:val="002A6E88"/>
    <w:rsid w:val="002A7B1F"/>
    <w:rsid w:val="002B18F7"/>
    <w:rsid w:val="002B4E42"/>
    <w:rsid w:val="002C039B"/>
    <w:rsid w:val="002C111C"/>
    <w:rsid w:val="002C4101"/>
    <w:rsid w:val="002C50E3"/>
    <w:rsid w:val="002C5D90"/>
    <w:rsid w:val="002C6D06"/>
    <w:rsid w:val="002D4CD3"/>
    <w:rsid w:val="002D53F0"/>
    <w:rsid w:val="002E401B"/>
    <w:rsid w:val="002E6781"/>
    <w:rsid w:val="002E7FD6"/>
    <w:rsid w:val="002F0450"/>
    <w:rsid w:val="002F79FE"/>
    <w:rsid w:val="00300FC8"/>
    <w:rsid w:val="00301879"/>
    <w:rsid w:val="003026A4"/>
    <w:rsid w:val="00304E9C"/>
    <w:rsid w:val="0030615B"/>
    <w:rsid w:val="00312EF7"/>
    <w:rsid w:val="00314B5B"/>
    <w:rsid w:val="00317BD7"/>
    <w:rsid w:val="0032042F"/>
    <w:rsid w:val="00322113"/>
    <w:rsid w:val="00322DFB"/>
    <w:rsid w:val="00324F6E"/>
    <w:rsid w:val="00330851"/>
    <w:rsid w:val="00332CAF"/>
    <w:rsid w:val="003354F7"/>
    <w:rsid w:val="0033716E"/>
    <w:rsid w:val="00340D8E"/>
    <w:rsid w:val="003416E5"/>
    <w:rsid w:val="00346F1E"/>
    <w:rsid w:val="00350C29"/>
    <w:rsid w:val="00351EE6"/>
    <w:rsid w:val="0035213E"/>
    <w:rsid w:val="00352F58"/>
    <w:rsid w:val="00353351"/>
    <w:rsid w:val="003569D8"/>
    <w:rsid w:val="00361C4A"/>
    <w:rsid w:val="0036377F"/>
    <w:rsid w:val="00366C04"/>
    <w:rsid w:val="003710B9"/>
    <w:rsid w:val="003734AF"/>
    <w:rsid w:val="003806DA"/>
    <w:rsid w:val="0038082E"/>
    <w:rsid w:val="00381201"/>
    <w:rsid w:val="003820F8"/>
    <w:rsid w:val="00387B83"/>
    <w:rsid w:val="003910E2"/>
    <w:rsid w:val="00392FAC"/>
    <w:rsid w:val="0039325C"/>
    <w:rsid w:val="00393735"/>
    <w:rsid w:val="0039490D"/>
    <w:rsid w:val="00395A4B"/>
    <w:rsid w:val="00397F02"/>
    <w:rsid w:val="003A0F3E"/>
    <w:rsid w:val="003A1359"/>
    <w:rsid w:val="003A3FEF"/>
    <w:rsid w:val="003B31D6"/>
    <w:rsid w:val="003B4CCE"/>
    <w:rsid w:val="003B7AB5"/>
    <w:rsid w:val="003C2EFC"/>
    <w:rsid w:val="003D5A46"/>
    <w:rsid w:val="003E20C7"/>
    <w:rsid w:val="003E21B3"/>
    <w:rsid w:val="003E29FB"/>
    <w:rsid w:val="003E4A4E"/>
    <w:rsid w:val="003E69C6"/>
    <w:rsid w:val="003F0024"/>
    <w:rsid w:val="003F0493"/>
    <w:rsid w:val="003F1E5D"/>
    <w:rsid w:val="003F2161"/>
    <w:rsid w:val="003F4C47"/>
    <w:rsid w:val="003F78A9"/>
    <w:rsid w:val="00401B4B"/>
    <w:rsid w:val="00401F60"/>
    <w:rsid w:val="00402161"/>
    <w:rsid w:val="00402572"/>
    <w:rsid w:val="00403E46"/>
    <w:rsid w:val="00405842"/>
    <w:rsid w:val="00405F8A"/>
    <w:rsid w:val="004115ED"/>
    <w:rsid w:val="00414182"/>
    <w:rsid w:val="004178B4"/>
    <w:rsid w:val="0042072B"/>
    <w:rsid w:val="004229C7"/>
    <w:rsid w:val="00425F72"/>
    <w:rsid w:val="00427EF3"/>
    <w:rsid w:val="004304FA"/>
    <w:rsid w:val="00432401"/>
    <w:rsid w:val="004334B2"/>
    <w:rsid w:val="00434C49"/>
    <w:rsid w:val="0044006D"/>
    <w:rsid w:val="004427AA"/>
    <w:rsid w:val="004465A4"/>
    <w:rsid w:val="00447FA1"/>
    <w:rsid w:val="004503D2"/>
    <w:rsid w:val="00450742"/>
    <w:rsid w:val="00451E4B"/>
    <w:rsid w:val="00453474"/>
    <w:rsid w:val="004542DC"/>
    <w:rsid w:val="00456356"/>
    <w:rsid w:val="0045716F"/>
    <w:rsid w:val="00462055"/>
    <w:rsid w:val="00462DA8"/>
    <w:rsid w:val="00464210"/>
    <w:rsid w:val="00464EED"/>
    <w:rsid w:val="004654DF"/>
    <w:rsid w:val="00471D9D"/>
    <w:rsid w:val="00472520"/>
    <w:rsid w:val="00474FAE"/>
    <w:rsid w:val="00480052"/>
    <w:rsid w:val="00481AD3"/>
    <w:rsid w:val="00482950"/>
    <w:rsid w:val="004844F4"/>
    <w:rsid w:val="004872F9"/>
    <w:rsid w:val="004904CD"/>
    <w:rsid w:val="00492B32"/>
    <w:rsid w:val="00492C08"/>
    <w:rsid w:val="00493DFC"/>
    <w:rsid w:val="0049430E"/>
    <w:rsid w:val="00496429"/>
    <w:rsid w:val="00496C3F"/>
    <w:rsid w:val="004A07D5"/>
    <w:rsid w:val="004A11F3"/>
    <w:rsid w:val="004A398A"/>
    <w:rsid w:val="004A540A"/>
    <w:rsid w:val="004B7DF8"/>
    <w:rsid w:val="004D146C"/>
    <w:rsid w:val="004D1F07"/>
    <w:rsid w:val="004D2E8F"/>
    <w:rsid w:val="004D3F99"/>
    <w:rsid w:val="004D48D1"/>
    <w:rsid w:val="004D74D0"/>
    <w:rsid w:val="004E05FF"/>
    <w:rsid w:val="004E1EC2"/>
    <w:rsid w:val="004F1558"/>
    <w:rsid w:val="004F27EE"/>
    <w:rsid w:val="004F28BC"/>
    <w:rsid w:val="004F7930"/>
    <w:rsid w:val="005008E4"/>
    <w:rsid w:val="00504C81"/>
    <w:rsid w:val="00504E2C"/>
    <w:rsid w:val="00505C7A"/>
    <w:rsid w:val="0050703D"/>
    <w:rsid w:val="005073C4"/>
    <w:rsid w:val="00511E95"/>
    <w:rsid w:val="005128EC"/>
    <w:rsid w:val="0051327C"/>
    <w:rsid w:val="005136C9"/>
    <w:rsid w:val="00514143"/>
    <w:rsid w:val="00515832"/>
    <w:rsid w:val="00515CC1"/>
    <w:rsid w:val="005178D8"/>
    <w:rsid w:val="00517900"/>
    <w:rsid w:val="00517A7C"/>
    <w:rsid w:val="005209C9"/>
    <w:rsid w:val="00521CB4"/>
    <w:rsid w:val="00522732"/>
    <w:rsid w:val="005232EB"/>
    <w:rsid w:val="00527BC9"/>
    <w:rsid w:val="005317CE"/>
    <w:rsid w:val="00532750"/>
    <w:rsid w:val="005328CB"/>
    <w:rsid w:val="00533B96"/>
    <w:rsid w:val="0053662E"/>
    <w:rsid w:val="00537DE0"/>
    <w:rsid w:val="005407EE"/>
    <w:rsid w:val="00544FC9"/>
    <w:rsid w:val="00545112"/>
    <w:rsid w:val="00545ABC"/>
    <w:rsid w:val="00553612"/>
    <w:rsid w:val="00554DDF"/>
    <w:rsid w:val="00555AE7"/>
    <w:rsid w:val="00555C64"/>
    <w:rsid w:val="00557C52"/>
    <w:rsid w:val="00557F03"/>
    <w:rsid w:val="00561F08"/>
    <w:rsid w:val="00563121"/>
    <w:rsid w:val="00564CCC"/>
    <w:rsid w:val="005669A3"/>
    <w:rsid w:val="005766BC"/>
    <w:rsid w:val="00576AAB"/>
    <w:rsid w:val="00576D15"/>
    <w:rsid w:val="00581BDD"/>
    <w:rsid w:val="00581C40"/>
    <w:rsid w:val="00583BCC"/>
    <w:rsid w:val="005849D5"/>
    <w:rsid w:val="0058556E"/>
    <w:rsid w:val="005912AC"/>
    <w:rsid w:val="005926A1"/>
    <w:rsid w:val="0059405E"/>
    <w:rsid w:val="0059568E"/>
    <w:rsid w:val="00597052"/>
    <w:rsid w:val="005A21EC"/>
    <w:rsid w:val="005A36A4"/>
    <w:rsid w:val="005A3799"/>
    <w:rsid w:val="005A50BB"/>
    <w:rsid w:val="005A64AB"/>
    <w:rsid w:val="005A6AE9"/>
    <w:rsid w:val="005A7E57"/>
    <w:rsid w:val="005B1814"/>
    <w:rsid w:val="005B3B83"/>
    <w:rsid w:val="005B5E99"/>
    <w:rsid w:val="005B6F41"/>
    <w:rsid w:val="005B7999"/>
    <w:rsid w:val="005C1CC8"/>
    <w:rsid w:val="005C1FDF"/>
    <w:rsid w:val="005C4CDF"/>
    <w:rsid w:val="005D17B5"/>
    <w:rsid w:val="005D5017"/>
    <w:rsid w:val="005E1536"/>
    <w:rsid w:val="005E2574"/>
    <w:rsid w:val="005E3E9D"/>
    <w:rsid w:val="005E5828"/>
    <w:rsid w:val="005E74D6"/>
    <w:rsid w:val="005F308A"/>
    <w:rsid w:val="005F3300"/>
    <w:rsid w:val="005F4719"/>
    <w:rsid w:val="005F5529"/>
    <w:rsid w:val="005F658A"/>
    <w:rsid w:val="005F78AF"/>
    <w:rsid w:val="0060165A"/>
    <w:rsid w:val="0060702E"/>
    <w:rsid w:val="006131B6"/>
    <w:rsid w:val="00615451"/>
    <w:rsid w:val="00615453"/>
    <w:rsid w:val="006179D2"/>
    <w:rsid w:val="006207EA"/>
    <w:rsid w:val="0062388D"/>
    <w:rsid w:val="00624110"/>
    <w:rsid w:val="00624135"/>
    <w:rsid w:val="0062523A"/>
    <w:rsid w:val="0062740D"/>
    <w:rsid w:val="00627C7B"/>
    <w:rsid w:val="006309E2"/>
    <w:rsid w:val="00631C7C"/>
    <w:rsid w:val="0063452B"/>
    <w:rsid w:val="00634822"/>
    <w:rsid w:val="0063538C"/>
    <w:rsid w:val="0064211C"/>
    <w:rsid w:val="0064254E"/>
    <w:rsid w:val="0064341C"/>
    <w:rsid w:val="00644F8F"/>
    <w:rsid w:val="00644FC2"/>
    <w:rsid w:val="006470D4"/>
    <w:rsid w:val="006540D4"/>
    <w:rsid w:val="0065520A"/>
    <w:rsid w:val="0065578C"/>
    <w:rsid w:val="0066002A"/>
    <w:rsid w:val="00661B12"/>
    <w:rsid w:val="006626FB"/>
    <w:rsid w:val="00663F86"/>
    <w:rsid w:val="00664286"/>
    <w:rsid w:val="00666A73"/>
    <w:rsid w:val="00673F49"/>
    <w:rsid w:val="006755F2"/>
    <w:rsid w:val="0068066A"/>
    <w:rsid w:val="00681554"/>
    <w:rsid w:val="006822B8"/>
    <w:rsid w:val="00683D38"/>
    <w:rsid w:val="0068770C"/>
    <w:rsid w:val="006902C6"/>
    <w:rsid w:val="006922F0"/>
    <w:rsid w:val="0069366C"/>
    <w:rsid w:val="00694444"/>
    <w:rsid w:val="0069711F"/>
    <w:rsid w:val="006A0567"/>
    <w:rsid w:val="006A196A"/>
    <w:rsid w:val="006A3512"/>
    <w:rsid w:val="006A674F"/>
    <w:rsid w:val="006B0215"/>
    <w:rsid w:val="006B08D4"/>
    <w:rsid w:val="006B1D03"/>
    <w:rsid w:val="006B230D"/>
    <w:rsid w:val="006B3971"/>
    <w:rsid w:val="006B4204"/>
    <w:rsid w:val="006B6E30"/>
    <w:rsid w:val="006B70C9"/>
    <w:rsid w:val="006B7929"/>
    <w:rsid w:val="006C389B"/>
    <w:rsid w:val="006C3C41"/>
    <w:rsid w:val="006C51F4"/>
    <w:rsid w:val="006D0001"/>
    <w:rsid w:val="006D16B6"/>
    <w:rsid w:val="006D2A31"/>
    <w:rsid w:val="006D5FC3"/>
    <w:rsid w:val="006D66D4"/>
    <w:rsid w:val="006D6DC5"/>
    <w:rsid w:val="006D7CC8"/>
    <w:rsid w:val="006E0333"/>
    <w:rsid w:val="006E04E1"/>
    <w:rsid w:val="006E19E5"/>
    <w:rsid w:val="006E7F1E"/>
    <w:rsid w:val="006F0046"/>
    <w:rsid w:val="006F1BF9"/>
    <w:rsid w:val="00700223"/>
    <w:rsid w:val="00700C57"/>
    <w:rsid w:val="00701F31"/>
    <w:rsid w:val="00703BA4"/>
    <w:rsid w:val="00704B7A"/>
    <w:rsid w:val="00705563"/>
    <w:rsid w:val="007070B8"/>
    <w:rsid w:val="00707732"/>
    <w:rsid w:val="00713BBF"/>
    <w:rsid w:val="00714FD6"/>
    <w:rsid w:val="00717E68"/>
    <w:rsid w:val="00724863"/>
    <w:rsid w:val="007268D2"/>
    <w:rsid w:val="007352AE"/>
    <w:rsid w:val="007407A4"/>
    <w:rsid w:val="00741296"/>
    <w:rsid w:val="007424AE"/>
    <w:rsid w:val="0074514A"/>
    <w:rsid w:val="00750106"/>
    <w:rsid w:val="00753770"/>
    <w:rsid w:val="00760A3E"/>
    <w:rsid w:val="007704E6"/>
    <w:rsid w:val="007713EE"/>
    <w:rsid w:val="00773EAD"/>
    <w:rsid w:val="007748E3"/>
    <w:rsid w:val="0078115E"/>
    <w:rsid w:val="00781162"/>
    <w:rsid w:val="00781233"/>
    <w:rsid w:val="0078168E"/>
    <w:rsid w:val="00781CB1"/>
    <w:rsid w:val="007840BD"/>
    <w:rsid w:val="007847A5"/>
    <w:rsid w:val="00785DE6"/>
    <w:rsid w:val="00786394"/>
    <w:rsid w:val="00786B00"/>
    <w:rsid w:val="00787C6B"/>
    <w:rsid w:val="00794113"/>
    <w:rsid w:val="007941CE"/>
    <w:rsid w:val="00796D97"/>
    <w:rsid w:val="00797328"/>
    <w:rsid w:val="007A36BF"/>
    <w:rsid w:val="007A5E05"/>
    <w:rsid w:val="007A738B"/>
    <w:rsid w:val="007A74C6"/>
    <w:rsid w:val="007B2A38"/>
    <w:rsid w:val="007B5AA1"/>
    <w:rsid w:val="007C079E"/>
    <w:rsid w:val="007C1547"/>
    <w:rsid w:val="007C1834"/>
    <w:rsid w:val="007C1E72"/>
    <w:rsid w:val="007C4474"/>
    <w:rsid w:val="007D3681"/>
    <w:rsid w:val="007D7A9B"/>
    <w:rsid w:val="007E4976"/>
    <w:rsid w:val="007E4CBB"/>
    <w:rsid w:val="007E7172"/>
    <w:rsid w:val="007E790C"/>
    <w:rsid w:val="007F0388"/>
    <w:rsid w:val="007F20FA"/>
    <w:rsid w:val="007F28CE"/>
    <w:rsid w:val="007F4D7B"/>
    <w:rsid w:val="007F6197"/>
    <w:rsid w:val="00800C4F"/>
    <w:rsid w:val="00801799"/>
    <w:rsid w:val="008028BE"/>
    <w:rsid w:val="0080291F"/>
    <w:rsid w:val="00802D90"/>
    <w:rsid w:val="00810BFB"/>
    <w:rsid w:val="00812122"/>
    <w:rsid w:val="00814D01"/>
    <w:rsid w:val="00816885"/>
    <w:rsid w:val="0082424F"/>
    <w:rsid w:val="008246B3"/>
    <w:rsid w:val="00830B05"/>
    <w:rsid w:val="00832191"/>
    <w:rsid w:val="008329B7"/>
    <w:rsid w:val="00835B42"/>
    <w:rsid w:val="00842570"/>
    <w:rsid w:val="00844176"/>
    <w:rsid w:val="00844372"/>
    <w:rsid w:val="0084532F"/>
    <w:rsid w:val="008458AA"/>
    <w:rsid w:val="008530D5"/>
    <w:rsid w:val="008601B9"/>
    <w:rsid w:val="0086193C"/>
    <w:rsid w:val="00862151"/>
    <w:rsid w:val="00864171"/>
    <w:rsid w:val="0086460D"/>
    <w:rsid w:val="0086476B"/>
    <w:rsid w:val="00870667"/>
    <w:rsid w:val="008713A1"/>
    <w:rsid w:val="008738EF"/>
    <w:rsid w:val="008741EB"/>
    <w:rsid w:val="008760FB"/>
    <w:rsid w:val="00877793"/>
    <w:rsid w:val="00877E6C"/>
    <w:rsid w:val="0088197E"/>
    <w:rsid w:val="00884F6F"/>
    <w:rsid w:val="008922ED"/>
    <w:rsid w:val="0089542C"/>
    <w:rsid w:val="008A229F"/>
    <w:rsid w:val="008A7928"/>
    <w:rsid w:val="008B100C"/>
    <w:rsid w:val="008B258B"/>
    <w:rsid w:val="008B25D2"/>
    <w:rsid w:val="008B2BCE"/>
    <w:rsid w:val="008B592D"/>
    <w:rsid w:val="008C0321"/>
    <w:rsid w:val="008D050B"/>
    <w:rsid w:val="008D093B"/>
    <w:rsid w:val="008D258D"/>
    <w:rsid w:val="008D73FF"/>
    <w:rsid w:val="008E0353"/>
    <w:rsid w:val="008E1136"/>
    <w:rsid w:val="008E3D39"/>
    <w:rsid w:val="008E4966"/>
    <w:rsid w:val="008E67D5"/>
    <w:rsid w:val="008E6BEE"/>
    <w:rsid w:val="008E7904"/>
    <w:rsid w:val="008F0018"/>
    <w:rsid w:val="008F0763"/>
    <w:rsid w:val="008F3E16"/>
    <w:rsid w:val="00901FCB"/>
    <w:rsid w:val="00903394"/>
    <w:rsid w:val="00906217"/>
    <w:rsid w:val="009063F5"/>
    <w:rsid w:val="009068E9"/>
    <w:rsid w:val="00910FD7"/>
    <w:rsid w:val="009117C4"/>
    <w:rsid w:val="00911C0A"/>
    <w:rsid w:val="00914B14"/>
    <w:rsid w:val="009206A5"/>
    <w:rsid w:val="00920ADD"/>
    <w:rsid w:val="009212BC"/>
    <w:rsid w:val="00921518"/>
    <w:rsid w:val="009319AA"/>
    <w:rsid w:val="00935BA5"/>
    <w:rsid w:val="00937C41"/>
    <w:rsid w:val="00937FE5"/>
    <w:rsid w:val="00942033"/>
    <w:rsid w:val="00943812"/>
    <w:rsid w:val="009447B6"/>
    <w:rsid w:val="00944AD2"/>
    <w:rsid w:val="00953F23"/>
    <w:rsid w:val="0095692A"/>
    <w:rsid w:val="0095757F"/>
    <w:rsid w:val="00965D4A"/>
    <w:rsid w:val="00965EC6"/>
    <w:rsid w:val="00966307"/>
    <w:rsid w:val="00966B19"/>
    <w:rsid w:val="00971B2A"/>
    <w:rsid w:val="009727A8"/>
    <w:rsid w:val="00974724"/>
    <w:rsid w:val="009757FD"/>
    <w:rsid w:val="0097610E"/>
    <w:rsid w:val="00976D99"/>
    <w:rsid w:val="00980897"/>
    <w:rsid w:val="00981716"/>
    <w:rsid w:val="009821BE"/>
    <w:rsid w:val="00984794"/>
    <w:rsid w:val="00985BD6"/>
    <w:rsid w:val="0098725E"/>
    <w:rsid w:val="00990932"/>
    <w:rsid w:val="00990DB6"/>
    <w:rsid w:val="00991FF3"/>
    <w:rsid w:val="009A0E2B"/>
    <w:rsid w:val="009A7350"/>
    <w:rsid w:val="009B0222"/>
    <w:rsid w:val="009B0F27"/>
    <w:rsid w:val="009B50E3"/>
    <w:rsid w:val="009B54D9"/>
    <w:rsid w:val="009C236D"/>
    <w:rsid w:val="009C35C9"/>
    <w:rsid w:val="009C3BE3"/>
    <w:rsid w:val="009C46FA"/>
    <w:rsid w:val="009C50A2"/>
    <w:rsid w:val="009C6150"/>
    <w:rsid w:val="009C698F"/>
    <w:rsid w:val="009C6EC8"/>
    <w:rsid w:val="009D1502"/>
    <w:rsid w:val="009D156C"/>
    <w:rsid w:val="009D1F97"/>
    <w:rsid w:val="009D494A"/>
    <w:rsid w:val="009D494D"/>
    <w:rsid w:val="009D4CA2"/>
    <w:rsid w:val="009D6125"/>
    <w:rsid w:val="009E2031"/>
    <w:rsid w:val="009E248A"/>
    <w:rsid w:val="009E2E29"/>
    <w:rsid w:val="009E6BF1"/>
    <w:rsid w:val="009F1B21"/>
    <w:rsid w:val="009F448D"/>
    <w:rsid w:val="009F5009"/>
    <w:rsid w:val="009F611F"/>
    <w:rsid w:val="009F66B3"/>
    <w:rsid w:val="009F7BD7"/>
    <w:rsid w:val="00A04015"/>
    <w:rsid w:val="00A04A6A"/>
    <w:rsid w:val="00A066A4"/>
    <w:rsid w:val="00A10B2C"/>
    <w:rsid w:val="00A12672"/>
    <w:rsid w:val="00A15B4E"/>
    <w:rsid w:val="00A162E7"/>
    <w:rsid w:val="00A21170"/>
    <w:rsid w:val="00A21E11"/>
    <w:rsid w:val="00A22084"/>
    <w:rsid w:val="00A24F21"/>
    <w:rsid w:val="00A252C0"/>
    <w:rsid w:val="00A322E1"/>
    <w:rsid w:val="00A433AA"/>
    <w:rsid w:val="00A43CC7"/>
    <w:rsid w:val="00A45F4A"/>
    <w:rsid w:val="00A462E1"/>
    <w:rsid w:val="00A462EA"/>
    <w:rsid w:val="00A4753F"/>
    <w:rsid w:val="00A521BB"/>
    <w:rsid w:val="00A532FC"/>
    <w:rsid w:val="00A544A4"/>
    <w:rsid w:val="00A60205"/>
    <w:rsid w:val="00A61621"/>
    <w:rsid w:val="00A6209A"/>
    <w:rsid w:val="00A63C9E"/>
    <w:rsid w:val="00A64AFA"/>
    <w:rsid w:val="00A64D65"/>
    <w:rsid w:val="00A66C7F"/>
    <w:rsid w:val="00A67509"/>
    <w:rsid w:val="00A7094A"/>
    <w:rsid w:val="00A70B8E"/>
    <w:rsid w:val="00A742DE"/>
    <w:rsid w:val="00A75255"/>
    <w:rsid w:val="00A752C5"/>
    <w:rsid w:val="00A84646"/>
    <w:rsid w:val="00A85396"/>
    <w:rsid w:val="00A85D0B"/>
    <w:rsid w:val="00A8695F"/>
    <w:rsid w:val="00AA02B1"/>
    <w:rsid w:val="00AA4AF6"/>
    <w:rsid w:val="00AA65FD"/>
    <w:rsid w:val="00AA70ED"/>
    <w:rsid w:val="00AB3D64"/>
    <w:rsid w:val="00AB7EAA"/>
    <w:rsid w:val="00AC10A8"/>
    <w:rsid w:val="00AC341B"/>
    <w:rsid w:val="00AC3C7E"/>
    <w:rsid w:val="00AC46D8"/>
    <w:rsid w:val="00AC558A"/>
    <w:rsid w:val="00AC5E0B"/>
    <w:rsid w:val="00AC6377"/>
    <w:rsid w:val="00AC6A30"/>
    <w:rsid w:val="00AC7117"/>
    <w:rsid w:val="00AC7464"/>
    <w:rsid w:val="00AD0AE0"/>
    <w:rsid w:val="00AD468D"/>
    <w:rsid w:val="00AE12CB"/>
    <w:rsid w:val="00AE136E"/>
    <w:rsid w:val="00AE34C6"/>
    <w:rsid w:val="00AE45F5"/>
    <w:rsid w:val="00AF054E"/>
    <w:rsid w:val="00AF22C6"/>
    <w:rsid w:val="00AF23A7"/>
    <w:rsid w:val="00AF3805"/>
    <w:rsid w:val="00AF605B"/>
    <w:rsid w:val="00AF66AB"/>
    <w:rsid w:val="00B0093A"/>
    <w:rsid w:val="00B04499"/>
    <w:rsid w:val="00B0503E"/>
    <w:rsid w:val="00B06EDA"/>
    <w:rsid w:val="00B11BE1"/>
    <w:rsid w:val="00B1451F"/>
    <w:rsid w:val="00B14846"/>
    <w:rsid w:val="00B16BD5"/>
    <w:rsid w:val="00B17A7F"/>
    <w:rsid w:val="00B22BD6"/>
    <w:rsid w:val="00B238C1"/>
    <w:rsid w:val="00B23EEE"/>
    <w:rsid w:val="00B24434"/>
    <w:rsid w:val="00B254A1"/>
    <w:rsid w:val="00B26FDF"/>
    <w:rsid w:val="00B312B5"/>
    <w:rsid w:val="00B324AC"/>
    <w:rsid w:val="00B327D1"/>
    <w:rsid w:val="00B32D8F"/>
    <w:rsid w:val="00B3324E"/>
    <w:rsid w:val="00B36737"/>
    <w:rsid w:val="00B36EEE"/>
    <w:rsid w:val="00B420E7"/>
    <w:rsid w:val="00B43F57"/>
    <w:rsid w:val="00B44410"/>
    <w:rsid w:val="00B47CBB"/>
    <w:rsid w:val="00B53B80"/>
    <w:rsid w:val="00B54E28"/>
    <w:rsid w:val="00B55D30"/>
    <w:rsid w:val="00B56C46"/>
    <w:rsid w:val="00B57505"/>
    <w:rsid w:val="00B61EB8"/>
    <w:rsid w:val="00B63922"/>
    <w:rsid w:val="00B65355"/>
    <w:rsid w:val="00B6562A"/>
    <w:rsid w:val="00B65C8E"/>
    <w:rsid w:val="00B66E6A"/>
    <w:rsid w:val="00B77C2B"/>
    <w:rsid w:val="00B77F7E"/>
    <w:rsid w:val="00B80160"/>
    <w:rsid w:val="00B80C5C"/>
    <w:rsid w:val="00B82264"/>
    <w:rsid w:val="00B832C6"/>
    <w:rsid w:val="00B83E4A"/>
    <w:rsid w:val="00B84A3C"/>
    <w:rsid w:val="00B84E61"/>
    <w:rsid w:val="00B91D23"/>
    <w:rsid w:val="00B929FE"/>
    <w:rsid w:val="00B93A47"/>
    <w:rsid w:val="00B960D6"/>
    <w:rsid w:val="00B974EC"/>
    <w:rsid w:val="00BA2311"/>
    <w:rsid w:val="00BB7489"/>
    <w:rsid w:val="00BD4A5B"/>
    <w:rsid w:val="00BD4E4C"/>
    <w:rsid w:val="00BD523B"/>
    <w:rsid w:val="00BD7D6C"/>
    <w:rsid w:val="00BE01A5"/>
    <w:rsid w:val="00BE0365"/>
    <w:rsid w:val="00BE135D"/>
    <w:rsid w:val="00BE3788"/>
    <w:rsid w:val="00BE4637"/>
    <w:rsid w:val="00BE5120"/>
    <w:rsid w:val="00BE698A"/>
    <w:rsid w:val="00BE6EF8"/>
    <w:rsid w:val="00BE6FBA"/>
    <w:rsid w:val="00BF014F"/>
    <w:rsid w:val="00BF3560"/>
    <w:rsid w:val="00BF7219"/>
    <w:rsid w:val="00C00463"/>
    <w:rsid w:val="00C004FB"/>
    <w:rsid w:val="00C0354B"/>
    <w:rsid w:val="00C0489B"/>
    <w:rsid w:val="00C0767F"/>
    <w:rsid w:val="00C07E73"/>
    <w:rsid w:val="00C14E3C"/>
    <w:rsid w:val="00C1524E"/>
    <w:rsid w:val="00C23D6E"/>
    <w:rsid w:val="00C25BFC"/>
    <w:rsid w:val="00C27AD8"/>
    <w:rsid w:val="00C31D2D"/>
    <w:rsid w:val="00C33899"/>
    <w:rsid w:val="00C36AB6"/>
    <w:rsid w:val="00C37B85"/>
    <w:rsid w:val="00C40B74"/>
    <w:rsid w:val="00C415D9"/>
    <w:rsid w:val="00C43F67"/>
    <w:rsid w:val="00C50A3E"/>
    <w:rsid w:val="00C50D2B"/>
    <w:rsid w:val="00C50E3A"/>
    <w:rsid w:val="00C564EC"/>
    <w:rsid w:val="00C60210"/>
    <w:rsid w:val="00C620EE"/>
    <w:rsid w:val="00C62E55"/>
    <w:rsid w:val="00C63D9A"/>
    <w:rsid w:val="00C6408F"/>
    <w:rsid w:val="00C644AD"/>
    <w:rsid w:val="00C651DB"/>
    <w:rsid w:val="00C66421"/>
    <w:rsid w:val="00C74595"/>
    <w:rsid w:val="00C808C9"/>
    <w:rsid w:val="00C813F6"/>
    <w:rsid w:val="00C8415F"/>
    <w:rsid w:val="00C8471E"/>
    <w:rsid w:val="00C9030A"/>
    <w:rsid w:val="00C91A69"/>
    <w:rsid w:val="00C92049"/>
    <w:rsid w:val="00C93EE7"/>
    <w:rsid w:val="00C94495"/>
    <w:rsid w:val="00C96E4D"/>
    <w:rsid w:val="00CA1BDA"/>
    <w:rsid w:val="00CA26B1"/>
    <w:rsid w:val="00CA6585"/>
    <w:rsid w:val="00CB0E16"/>
    <w:rsid w:val="00CB1294"/>
    <w:rsid w:val="00CB40DF"/>
    <w:rsid w:val="00CB461F"/>
    <w:rsid w:val="00CB49CE"/>
    <w:rsid w:val="00CB4C9A"/>
    <w:rsid w:val="00CB531D"/>
    <w:rsid w:val="00CB7504"/>
    <w:rsid w:val="00CC1041"/>
    <w:rsid w:val="00CC12B2"/>
    <w:rsid w:val="00CC13F6"/>
    <w:rsid w:val="00CC3511"/>
    <w:rsid w:val="00CC604F"/>
    <w:rsid w:val="00CD0156"/>
    <w:rsid w:val="00CD13CC"/>
    <w:rsid w:val="00CE0431"/>
    <w:rsid w:val="00CE17E1"/>
    <w:rsid w:val="00CE369B"/>
    <w:rsid w:val="00CF0B66"/>
    <w:rsid w:val="00CF31A9"/>
    <w:rsid w:val="00CF515F"/>
    <w:rsid w:val="00CF581C"/>
    <w:rsid w:val="00D010E3"/>
    <w:rsid w:val="00D079B6"/>
    <w:rsid w:val="00D11D4A"/>
    <w:rsid w:val="00D12498"/>
    <w:rsid w:val="00D14F43"/>
    <w:rsid w:val="00D1721E"/>
    <w:rsid w:val="00D17DFA"/>
    <w:rsid w:val="00D20F6F"/>
    <w:rsid w:val="00D21290"/>
    <w:rsid w:val="00D23109"/>
    <w:rsid w:val="00D33C9B"/>
    <w:rsid w:val="00D4444F"/>
    <w:rsid w:val="00D4609A"/>
    <w:rsid w:val="00D47CE7"/>
    <w:rsid w:val="00D5057D"/>
    <w:rsid w:val="00D50E64"/>
    <w:rsid w:val="00D5312F"/>
    <w:rsid w:val="00D54C0B"/>
    <w:rsid w:val="00D56A37"/>
    <w:rsid w:val="00D56E5E"/>
    <w:rsid w:val="00D57997"/>
    <w:rsid w:val="00D57F35"/>
    <w:rsid w:val="00D635C8"/>
    <w:rsid w:val="00D64BA9"/>
    <w:rsid w:val="00D66A33"/>
    <w:rsid w:val="00D66BB1"/>
    <w:rsid w:val="00D66ED3"/>
    <w:rsid w:val="00D714D7"/>
    <w:rsid w:val="00D75EAB"/>
    <w:rsid w:val="00D83022"/>
    <w:rsid w:val="00D874CA"/>
    <w:rsid w:val="00D91D64"/>
    <w:rsid w:val="00D94511"/>
    <w:rsid w:val="00DA0496"/>
    <w:rsid w:val="00DA1AFF"/>
    <w:rsid w:val="00DA4C53"/>
    <w:rsid w:val="00DA7227"/>
    <w:rsid w:val="00DB0745"/>
    <w:rsid w:val="00DB1E44"/>
    <w:rsid w:val="00DB42AF"/>
    <w:rsid w:val="00DB4F53"/>
    <w:rsid w:val="00DB5292"/>
    <w:rsid w:val="00DC00A2"/>
    <w:rsid w:val="00DC090B"/>
    <w:rsid w:val="00DC33AC"/>
    <w:rsid w:val="00DC4089"/>
    <w:rsid w:val="00DC5DEE"/>
    <w:rsid w:val="00DC6B99"/>
    <w:rsid w:val="00DC7112"/>
    <w:rsid w:val="00DC769A"/>
    <w:rsid w:val="00DD06AB"/>
    <w:rsid w:val="00DD2519"/>
    <w:rsid w:val="00DD5F7A"/>
    <w:rsid w:val="00DD5FBE"/>
    <w:rsid w:val="00DD6611"/>
    <w:rsid w:val="00DE7217"/>
    <w:rsid w:val="00DE7399"/>
    <w:rsid w:val="00DF07F7"/>
    <w:rsid w:val="00DF2E75"/>
    <w:rsid w:val="00DF31A7"/>
    <w:rsid w:val="00DF35FF"/>
    <w:rsid w:val="00DF78D3"/>
    <w:rsid w:val="00E003A0"/>
    <w:rsid w:val="00E00471"/>
    <w:rsid w:val="00E005A3"/>
    <w:rsid w:val="00E04CEE"/>
    <w:rsid w:val="00E11C2A"/>
    <w:rsid w:val="00E13557"/>
    <w:rsid w:val="00E13640"/>
    <w:rsid w:val="00E13F86"/>
    <w:rsid w:val="00E14196"/>
    <w:rsid w:val="00E14B45"/>
    <w:rsid w:val="00E168FF"/>
    <w:rsid w:val="00E202D8"/>
    <w:rsid w:val="00E22EAB"/>
    <w:rsid w:val="00E25378"/>
    <w:rsid w:val="00E2552B"/>
    <w:rsid w:val="00E279FF"/>
    <w:rsid w:val="00E3501F"/>
    <w:rsid w:val="00E4113E"/>
    <w:rsid w:val="00E41826"/>
    <w:rsid w:val="00E428C5"/>
    <w:rsid w:val="00E45763"/>
    <w:rsid w:val="00E462ED"/>
    <w:rsid w:val="00E46F30"/>
    <w:rsid w:val="00E46FEC"/>
    <w:rsid w:val="00E47759"/>
    <w:rsid w:val="00E508EE"/>
    <w:rsid w:val="00E5100B"/>
    <w:rsid w:val="00E510EC"/>
    <w:rsid w:val="00E513C3"/>
    <w:rsid w:val="00E5156C"/>
    <w:rsid w:val="00E52F76"/>
    <w:rsid w:val="00E55E62"/>
    <w:rsid w:val="00E57350"/>
    <w:rsid w:val="00E57DBD"/>
    <w:rsid w:val="00E618BC"/>
    <w:rsid w:val="00E6309C"/>
    <w:rsid w:val="00E64043"/>
    <w:rsid w:val="00E70E0C"/>
    <w:rsid w:val="00E71645"/>
    <w:rsid w:val="00E71688"/>
    <w:rsid w:val="00E7282E"/>
    <w:rsid w:val="00E73051"/>
    <w:rsid w:val="00E73CAA"/>
    <w:rsid w:val="00E74FC5"/>
    <w:rsid w:val="00E754B2"/>
    <w:rsid w:val="00E75A87"/>
    <w:rsid w:val="00E76B0D"/>
    <w:rsid w:val="00E77B92"/>
    <w:rsid w:val="00E80454"/>
    <w:rsid w:val="00E81440"/>
    <w:rsid w:val="00E81819"/>
    <w:rsid w:val="00E847D2"/>
    <w:rsid w:val="00E84FAC"/>
    <w:rsid w:val="00E8562D"/>
    <w:rsid w:val="00E86DC1"/>
    <w:rsid w:val="00E953C3"/>
    <w:rsid w:val="00EA272B"/>
    <w:rsid w:val="00EA2A88"/>
    <w:rsid w:val="00EA4D55"/>
    <w:rsid w:val="00EA598F"/>
    <w:rsid w:val="00EA5A46"/>
    <w:rsid w:val="00EA68CB"/>
    <w:rsid w:val="00EB01AA"/>
    <w:rsid w:val="00EB12D4"/>
    <w:rsid w:val="00EB13DA"/>
    <w:rsid w:val="00EB16BC"/>
    <w:rsid w:val="00EB1C3C"/>
    <w:rsid w:val="00EB296E"/>
    <w:rsid w:val="00EB2A51"/>
    <w:rsid w:val="00EB5311"/>
    <w:rsid w:val="00EB5B6B"/>
    <w:rsid w:val="00EB5ECE"/>
    <w:rsid w:val="00EC3BE6"/>
    <w:rsid w:val="00EC4202"/>
    <w:rsid w:val="00EC626A"/>
    <w:rsid w:val="00ED17FF"/>
    <w:rsid w:val="00ED1857"/>
    <w:rsid w:val="00ED36A7"/>
    <w:rsid w:val="00ED6832"/>
    <w:rsid w:val="00EE5D3A"/>
    <w:rsid w:val="00EE664B"/>
    <w:rsid w:val="00EE7709"/>
    <w:rsid w:val="00EF451A"/>
    <w:rsid w:val="00EF76C1"/>
    <w:rsid w:val="00F015E6"/>
    <w:rsid w:val="00F03816"/>
    <w:rsid w:val="00F07187"/>
    <w:rsid w:val="00F13ED3"/>
    <w:rsid w:val="00F15959"/>
    <w:rsid w:val="00F23F3A"/>
    <w:rsid w:val="00F2418A"/>
    <w:rsid w:val="00F255A7"/>
    <w:rsid w:val="00F26D87"/>
    <w:rsid w:val="00F26E52"/>
    <w:rsid w:val="00F274B3"/>
    <w:rsid w:val="00F27746"/>
    <w:rsid w:val="00F31405"/>
    <w:rsid w:val="00F31F0F"/>
    <w:rsid w:val="00F32AE3"/>
    <w:rsid w:val="00F33D5A"/>
    <w:rsid w:val="00F372A0"/>
    <w:rsid w:val="00F40A10"/>
    <w:rsid w:val="00F40BAA"/>
    <w:rsid w:val="00F42204"/>
    <w:rsid w:val="00F424A3"/>
    <w:rsid w:val="00F4357C"/>
    <w:rsid w:val="00F43D9A"/>
    <w:rsid w:val="00F44172"/>
    <w:rsid w:val="00F4443A"/>
    <w:rsid w:val="00F50AE1"/>
    <w:rsid w:val="00F5135A"/>
    <w:rsid w:val="00F51EA1"/>
    <w:rsid w:val="00F52E02"/>
    <w:rsid w:val="00F633A1"/>
    <w:rsid w:val="00F64749"/>
    <w:rsid w:val="00F64F25"/>
    <w:rsid w:val="00F65862"/>
    <w:rsid w:val="00F72171"/>
    <w:rsid w:val="00F72ED2"/>
    <w:rsid w:val="00F7521A"/>
    <w:rsid w:val="00F75D12"/>
    <w:rsid w:val="00F75F97"/>
    <w:rsid w:val="00F81714"/>
    <w:rsid w:val="00F82609"/>
    <w:rsid w:val="00F82D15"/>
    <w:rsid w:val="00F832DB"/>
    <w:rsid w:val="00F83F16"/>
    <w:rsid w:val="00F83F1A"/>
    <w:rsid w:val="00F85F4E"/>
    <w:rsid w:val="00F910D4"/>
    <w:rsid w:val="00F912DF"/>
    <w:rsid w:val="00F950AE"/>
    <w:rsid w:val="00F961B6"/>
    <w:rsid w:val="00F97BFA"/>
    <w:rsid w:val="00FA016F"/>
    <w:rsid w:val="00FA0453"/>
    <w:rsid w:val="00FA13E4"/>
    <w:rsid w:val="00FA2451"/>
    <w:rsid w:val="00FA2702"/>
    <w:rsid w:val="00FA3FB0"/>
    <w:rsid w:val="00FB1B5F"/>
    <w:rsid w:val="00FB3EA8"/>
    <w:rsid w:val="00FB4541"/>
    <w:rsid w:val="00FB4EA6"/>
    <w:rsid w:val="00FB4EC1"/>
    <w:rsid w:val="00FB540A"/>
    <w:rsid w:val="00FB5B1C"/>
    <w:rsid w:val="00FC6717"/>
    <w:rsid w:val="00FC79C9"/>
    <w:rsid w:val="00FD066F"/>
    <w:rsid w:val="00FD23A7"/>
    <w:rsid w:val="00FD2F0D"/>
    <w:rsid w:val="00FD5AE8"/>
    <w:rsid w:val="00FD61F2"/>
    <w:rsid w:val="00FE0EDC"/>
    <w:rsid w:val="00FE0FF0"/>
    <w:rsid w:val="00FE128D"/>
    <w:rsid w:val="00FE1FA0"/>
    <w:rsid w:val="00FE28E5"/>
    <w:rsid w:val="00FE3182"/>
    <w:rsid w:val="00FE64FE"/>
    <w:rsid w:val="00FE7423"/>
    <w:rsid w:val="00FF2030"/>
    <w:rsid w:val="00FF2833"/>
    <w:rsid w:val="00FF2E4D"/>
    <w:rsid w:val="00FF4725"/>
    <w:rsid w:val="00FF4883"/>
    <w:rsid w:val="00FF4CC5"/>
    <w:rsid w:val="00FF4CEF"/>
    <w:rsid w:val="00FF789D"/>
    <w:rsid w:val="07405113"/>
    <w:rsid w:val="2CAB317B"/>
    <w:rsid w:val="2DD53A1A"/>
    <w:rsid w:val="61F443AF"/>
    <w:rsid w:val="6C3268B0"/>
    <w:rsid w:val="6E375EC1"/>
    <w:rsid w:val="7DE12ED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4"/>
      <w:szCs w:val="22"/>
      <w:lang w:val="en-US" w:eastAsia="en-US" w:bidi="ar-SA"/>
    </w:rPr>
  </w:style>
  <w:style w:type="paragraph" w:styleId="2">
    <w:name w:val="heading 1"/>
    <w:basedOn w:val="1"/>
    <w:next w:val="1"/>
    <w:link w:val="32"/>
    <w:qFormat/>
    <w:uiPriority w:val="0"/>
    <w:pPr>
      <w:keepNext/>
      <w:keepLines/>
      <w:pageBreakBefore/>
      <w:pBdr>
        <w:top w:val="single" w:color="EBCC6E" w:sz="4" w:space="1"/>
        <w:left w:val="single" w:color="EBCC6E" w:sz="4" w:space="4"/>
        <w:bottom w:val="single" w:color="EBCC6E" w:sz="4" w:space="1"/>
        <w:right w:val="single" w:color="EBCC6E" w:sz="4" w:space="4"/>
      </w:pBdr>
      <w:shd w:val="solid" w:color="EBCC6E" w:fill="948A54"/>
      <w:spacing w:after="240" w:line="360" w:lineRule="auto"/>
      <w:outlineLvl w:val="0"/>
    </w:pPr>
    <w:rPr>
      <w:b/>
      <w:bCs/>
      <w:color w:val="259073" w:themeColor="accent2"/>
      <w:sz w:val="28"/>
      <w:szCs w:val="28"/>
      <w14:textFill>
        <w14:solidFill>
          <w14:schemeClr w14:val="accent2"/>
        </w14:solidFill>
      </w14:textFill>
    </w:rPr>
  </w:style>
  <w:style w:type="paragraph" w:styleId="3">
    <w:name w:val="heading 2"/>
    <w:basedOn w:val="1"/>
    <w:next w:val="1"/>
    <w:link w:val="35"/>
    <w:unhideWhenUsed/>
    <w:qFormat/>
    <w:uiPriority w:val="9"/>
    <w:pPr>
      <w:keepNext/>
      <w:keepLines/>
      <w:spacing w:before="120" w:after="120"/>
      <w:outlineLvl w:val="1"/>
    </w:pPr>
    <w:rPr>
      <w:b/>
      <w:bCs/>
      <w:szCs w:val="26"/>
    </w:rPr>
  </w:style>
  <w:style w:type="paragraph" w:styleId="4">
    <w:name w:val="heading 3"/>
    <w:basedOn w:val="1"/>
    <w:next w:val="1"/>
    <w:link w:val="36"/>
    <w:unhideWhenUsed/>
    <w:qFormat/>
    <w:uiPriority w:val="9"/>
    <w:pPr>
      <w:keepNext/>
      <w:keepLines/>
      <w:spacing w:before="200" w:after="0"/>
      <w:outlineLvl w:val="2"/>
    </w:pPr>
    <w:rPr>
      <w:rFonts w:ascii="Cambria" w:hAnsi="Cambria"/>
      <w:b/>
      <w:bCs/>
      <w:color w:val="4F81BD"/>
    </w:rPr>
  </w:style>
  <w:style w:type="paragraph" w:styleId="5">
    <w:name w:val="heading 4"/>
    <w:basedOn w:val="1"/>
    <w:next w:val="1"/>
    <w:link w:val="48"/>
    <w:qFormat/>
    <w:uiPriority w:val="0"/>
    <w:pPr>
      <w:keepNext/>
      <w:spacing w:before="120" w:after="0" w:line="360" w:lineRule="auto"/>
      <w:outlineLvl w:val="3"/>
    </w:pPr>
    <w:rPr>
      <w:rFonts w:ascii="Times New Roman" w:hAnsi="Times New Roman"/>
      <w:b/>
      <w:sz w:val="28"/>
      <w:szCs w:val="20"/>
    </w:rPr>
  </w:style>
  <w:style w:type="character" w:default="1" w:styleId="21">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6">
    <w:name w:val="Balloon Text"/>
    <w:basedOn w:val="1"/>
    <w:link w:val="31"/>
    <w:unhideWhenUsed/>
    <w:qFormat/>
    <w:uiPriority w:val="99"/>
    <w:pPr>
      <w:spacing w:after="0" w:line="240" w:lineRule="auto"/>
    </w:pPr>
    <w:rPr>
      <w:rFonts w:ascii="Tahoma" w:hAnsi="Tahoma" w:cs="Tahoma"/>
      <w:sz w:val="16"/>
      <w:szCs w:val="16"/>
    </w:rPr>
  </w:style>
  <w:style w:type="paragraph" w:styleId="7">
    <w:name w:val="Body Text 3"/>
    <w:basedOn w:val="1"/>
    <w:link w:val="50"/>
    <w:qFormat/>
    <w:uiPriority w:val="0"/>
    <w:pPr>
      <w:tabs>
        <w:tab w:val="left" w:pos="284"/>
      </w:tabs>
      <w:spacing w:after="0" w:line="360" w:lineRule="auto"/>
      <w:jc w:val="both"/>
    </w:pPr>
    <w:rPr>
      <w:rFonts w:ascii="Times New Roman" w:hAnsi="Times New Roman"/>
      <w:bCs/>
      <w:szCs w:val="20"/>
    </w:rPr>
  </w:style>
  <w:style w:type="paragraph" w:styleId="8">
    <w:name w:val="Body Text Indent 3"/>
    <w:basedOn w:val="1"/>
    <w:link w:val="29"/>
    <w:qFormat/>
    <w:uiPriority w:val="0"/>
    <w:pPr>
      <w:spacing w:before="60" w:after="60" w:line="360" w:lineRule="auto"/>
      <w:ind w:left="567"/>
      <w:jc w:val="both"/>
    </w:pPr>
    <w:rPr>
      <w:rFonts w:ascii="Tahoma" w:hAnsi="Tahoma" w:cs="Tahoma"/>
      <w:lang w:val="en-GB"/>
    </w:rPr>
  </w:style>
  <w:style w:type="paragraph" w:styleId="9">
    <w:name w:val="caption"/>
    <w:basedOn w:val="1"/>
    <w:next w:val="1"/>
    <w:unhideWhenUsed/>
    <w:qFormat/>
    <w:uiPriority w:val="35"/>
    <w:pPr>
      <w:spacing w:line="240" w:lineRule="auto"/>
      <w:jc w:val="center"/>
    </w:pPr>
    <w:rPr>
      <w:b/>
      <w:bCs/>
      <w:szCs w:val="18"/>
    </w:rPr>
  </w:style>
  <w:style w:type="paragraph" w:styleId="10">
    <w:name w:val="annotation text"/>
    <w:basedOn w:val="1"/>
    <w:link w:val="37"/>
    <w:unhideWhenUsed/>
    <w:qFormat/>
    <w:uiPriority w:val="0"/>
    <w:pPr>
      <w:spacing w:line="240" w:lineRule="auto"/>
    </w:pPr>
    <w:rPr>
      <w:sz w:val="20"/>
      <w:szCs w:val="20"/>
    </w:rPr>
  </w:style>
  <w:style w:type="paragraph" w:styleId="11">
    <w:name w:val="annotation subject"/>
    <w:basedOn w:val="10"/>
    <w:next w:val="10"/>
    <w:link w:val="38"/>
    <w:unhideWhenUsed/>
    <w:qFormat/>
    <w:uiPriority w:val="0"/>
    <w:rPr>
      <w:b/>
      <w:bCs/>
    </w:rPr>
  </w:style>
  <w:style w:type="paragraph" w:styleId="12">
    <w:name w:val="footer"/>
    <w:basedOn w:val="1"/>
    <w:link w:val="34"/>
    <w:unhideWhenUsed/>
    <w:qFormat/>
    <w:uiPriority w:val="99"/>
    <w:pPr>
      <w:tabs>
        <w:tab w:val="center" w:pos="4680"/>
        <w:tab w:val="right" w:pos="9360"/>
      </w:tabs>
      <w:spacing w:after="0" w:line="240" w:lineRule="auto"/>
    </w:pPr>
  </w:style>
  <w:style w:type="paragraph" w:styleId="13">
    <w:name w:val="footnote text"/>
    <w:basedOn w:val="1"/>
    <w:link w:val="52"/>
    <w:semiHidden/>
    <w:qFormat/>
    <w:uiPriority w:val="0"/>
    <w:pPr>
      <w:spacing w:after="0" w:line="240" w:lineRule="auto"/>
    </w:pPr>
    <w:rPr>
      <w:rFonts w:ascii="Times New Roman" w:hAnsi="Times New Roman"/>
      <w:sz w:val="20"/>
      <w:szCs w:val="20"/>
    </w:rPr>
  </w:style>
  <w:style w:type="paragraph" w:styleId="14">
    <w:name w:val="header"/>
    <w:basedOn w:val="1"/>
    <w:link w:val="33"/>
    <w:unhideWhenUsed/>
    <w:qFormat/>
    <w:uiPriority w:val="99"/>
    <w:pPr>
      <w:tabs>
        <w:tab w:val="center" w:pos="4680"/>
        <w:tab w:val="right" w:pos="9360"/>
      </w:tabs>
      <w:spacing w:after="0" w:line="240" w:lineRule="auto"/>
    </w:pPr>
  </w:style>
  <w:style w:type="paragraph" w:styleId="15">
    <w:name w:val="Normal (Web)"/>
    <w:basedOn w:val="1"/>
    <w:unhideWhenUsed/>
    <w:qFormat/>
    <w:uiPriority w:val="99"/>
    <w:pPr>
      <w:spacing w:before="100" w:beforeAutospacing="1" w:after="100" w:afterAutospacing="1" w:line="240" w:lineRule="auto"/>
    </w:pPr>
    <w:rPr>
      <w:rFonts w:ascii="Times New Roman" w:hAnsi="Times New Roman"/>
      <w:szCs w:val="24"/>
    </w:rPr>
  </w:style>
  <w:style w:type="paragraph" w:styleId="16">
    <w:name w:val="Subtitle"/>
    <w:basedOn w:val="1"/>
    <w:next w:val="1"/>
    <w:link w:val="39"/>
    <w:qFormat/>
    <w:uiPriority w:val="0"/>
    <w:pPr>
      <w:spacing w:after="60" w:line="240" w:lineRule="auto"/>
      <w:outlineLvl w:val="1"/>
    </w:pPr>
    <w:rPr>
      <w:rFonts w:eastAsia="MS Mincho"/>
      <w:b/>
      <w:szCs w:val="24"/>
      <w:lang w:eastAsia="ja-JP"/>
    </w:rPr>
  </w:style>
  <w:style w:type="paragraph" w:styleId="17">
    <w:name w:val="table of figures"/>
    <w:basedOn w:val="1"/>
    <w:next w:val="1"/>
    <w:unhideWhenUsed/>
    <w:qFormat/>
    <w:uiPriority w:val="99"/>
    <w:pPr>
      <w:spacing w:after="0"/>
    </w:pPr>
  </w:style>
  <w:style w:type="paragraph" w:styleId="18">
    <w:name w:val="toc 1"/>
    <w:basedOn w:val="1"/>
    <w:next w:val="1"/>
    <w:unhideWhenUsed/>
    <w:qFormat/>
    <w:uiPriority w:val="39"/>
    <w:pPr>
      <w:spacing w:after="100"/>
    </w:pPr>
  </w:style>
  <w:style w:type="paragraph" w:styleId="19">
    <w:name w:val="toc 2"/>
    <w:basedOn w:val="1"/>
    <w:next w:val="1"/>
    <w:unhideWhenUsed/>
    <w:qFormat/>
    <w:uiPriority w:val="39"/>
    <w:pPr>
      <w:spacing w:after="100"/>
      <w:ind w:left="220"/>
    </w:pPr>
  </w:style>
  <w:style w:type="paragraph" w:styleId="20">
    <w:name w:val="toc 3"/>
    <w:basedOn w:val="1"/>
    <w:next w:val="1"/>
    <w:unhideWhenUsed/>
    <w:qFormat/>
    <w:uiPriority w:val="39"/>
    <w:pPr>
      <w:spacing w:line="360" w:lineRule="auto"/>
      <w:ind w:left="440"/>
      <w:jc w:val="both"/>
    </w:pPr>
  </w:style>
  <w:style w:type="character" w:styleId="22">
    <w:name w:val="annotation reference"/>
    <w:unhideWhenUsed/>
    <w:qFormat/>
    <w:uiPriority w:val="0"/>
    <w:rPr>
      <w:sz w:val="16"/>
      <w:szCs w:val="16"/>
    </w:rPr>
  </w:style>
  <w:style w:type="character" w:styleId="23">
    <w:name w:val="Emphasis"/>
    <w:qFormat/>
    <w:uiPriority w:val="20"/>
    <w:rPr>
      <w:i/>
      <w:iCs/>
    </w:rPr>
  </w:style>
  <w:style w:type="character" w:styleId="24">
    <w:name w:val="Hyperlink"/>
    <w:unhideWhenUsed/>
    <w:qFormat/>
    <w:uiPriority w:val="99"/>
    <w:rPr>
      <w:color w:val="0000FF"/>
      <w:u w:val="single"/>
    </w:rPr>
  </w:style>
  <w:style w:type="character" w:styleId="25">
    <w:name w:val="page number"/>
    <w:basedOn w:val="21"/>
    <w:qFormat/>
    <w:uiPriority w:val="0"/>
  </w:style>
  <w:style w:type="table" w:styleId="27">
    <w:name w:val="Table Grid"/>
    <w:basedOn w:val="26"/>
    <w:qFormat/>
    <w:uiPriority w:val="59"/>
    <w:rPr>
      <w:rFonts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styleId="28">
    <w:name w:val="List Paragraph"/>
    <w:basedOn w:val="1"/>
    <w:qFormat/>
    <w:uiPriority w:val="34"/>
    <w:pPr>
      <w:ind w:left="720"/>
      <w:contextualSpacing/>
    </w:pPr>
  </w:style>
  <w:style w:type="character" w:customStyle="1" w:styleId="29">
    <w:name w:val="Body Text Indent 3 Char"/>
    <w:link w:val="8"/>
    <w:qFormat/>
    <w:uiPriority w:val="0"/>
    <w:rPr>
      <w:rFonts w:ascii="Tahoma" w:hAnsi="Tahoma" w:eastAsia="Times New Roman" w:cs="Tahoma"/>
      <w:lang w:val="en-GB"/>
    </w:rPr>
  </w:style>
  <w:style w:type="paragraph" w:customStyle="1" w:styleId="30">
    <w:name w:val="alinea"/>
    <w:basedOn w:val="1"/>
    <w:qFormat/>
    <w:uiPriority w:val="0"/>
    <w:pPr>
      <w:widowControl w:val="0"/>
      <w:spacing w:before="120" w:after="120" w:line="360" w:lineRule="auto"/>
      <w:ind w:firstLine="567"/>
      <w:jc w:val="both"/>
    </w:pPr>
    <w:rPr>
      <w:rFonts w:ascii="Verdana" w:hAnsi="Verdana" w:cs="Verdana"/>
      <w:sz w:val="20"/>
      <w:szCs w:val="20"/>
    </w:rPr>
  </w:style>
  <w:style w:type="character" w:customStyle="1" w:styleId="31">
    <w:name w:val="Balloon Text Char"/>
    <w:link w:val="6"/>
    <w:qFormat/>
    <w:uiPriority w:val="99"/>
    <w:rPr>
      <w:rFonts w:ascii="Tahoma" w:hAnsi="Tahoma" w:cs="Tahoma"/>
      <w:sz w:val="16"/>
      <w:szCs w:val="16"/>
    </w:rPr>
  </w:style>
  <w:style w:type="character" w:customStyle="1" w:styleId="32">
    <w:name w:val="Heading 1 Char"/>
    <w:link w:val="2"/>
    <w:qFormat/>
    <w:uiPriority w:val="9"/>
    <w:rPr>
      <w:b/>
      <w:bCs/>
      <w:color w:val="259073" w:themeColor="accent2"/>
      <w:sz w:val="28"/>
      <w:szCs w:val="28"/>
      <w:shd w:val="solid" w:color="EBCC6E" w:fill="948A54"/>
      <w14:textFill>
        <w14:solidFill>
          <w14:schemeClr w14:val="accent2"/>
        </w14:solidFill>
      </w14:textFill>
    </w:rPr>
  </w:style>
  <w:style w:type="character" w:customStyle="1" w:styleId="33">
    <w:name w:val="Header Char"/>
    <w:basedOn w:val="21"/>
    <w:link w:val="14"/>
    <w:qFormat/>
    <w:uiPriority w:val="99"/>
  </w:style>
  <w:style w:type="character" w:customStyle="1" w:styleId="34">
    <w:name w:val="Footer Char"/>
    <w:basedOn w:val="21"/>
    <w:link w:val="12"/>
    <w:qFormat/>
    <w:uiPriority w:val="99"/>
  </w:style>
  <w:style w:type="character" w:customStyle="1" w:styleId="35">
    <w:name w:val="Heading 2 Char"/>
    <w:link w:val="3"/>
    <w:qFormat/>
    <w:uiPriority w:val="9"/>
    <w:rPr>
      <w:rFonts w:eastAsia="Times New Roman" w:cs="Times New Roman"/>
      <w:b/>
      <w:bCs/>
      <w:sz w:val="24"/>
      <w:szCs w:val="26"/>
    </w:rPr>
  </w:style>
  <w:style w:type="character" w:customStyle="1" w:styleId="36">
    <w:name w:val="Heading 3 Char"/>
    <w:link w:val="4"/>
    <w:qFormat/>
    <w:uiPriority w:val="9"/>
    <w:rPr>
      <w:rFonts w:ascii="Cambria" w:hAnsi="Cambria" w:eastAsia="Times New Roman" w:cs="Times New Roman"/>
      <w:b/>
      <w:bCs/>
      <w:color w:val="4F81BD"/>
    </w:rPr>
  </w:style>
  <w:style w:type="character" w:customStyle="1" w:styleId="37">
    <w:name w:val="Comment Text Char"/>
    <w:link w:val="10"/>
    <w:qFormat/>
    <w:uiPriority w:val="0"/>
    <w:rPr>
      <w:sz w:val="20"/>
      <w:szCs w:val="20"/>
    </w:rPr>
  </w:style>
  <w:style w:type="character" w:customStyle="1" w:styleId="38">
    <w:name w:val="Comment Subject Char"/>
    <w:link w:val="11"/>
    <w:qFormat/>
    <w:uiPriority w:val="0"/>
    <w:rPr>
      <w:b/>
      <w:bCs/>
      <w:sz w:val="20"/>
      <w:szCs w:val="20"/>
    </w:rPr>
  </w:style>
  <w:style w:type="character" w:customStyle="1" w:styleId="39">
    <w:name w:val="Subtitle Char"/>
    <w:link w:val="16"/>
    <w:qFormat/>
    <w:uiPriority w:val="0"/>
    <w:rPr>
      <w:rFonts w:ascii="Calibri" w:hAnsi="Calibri" w:eastAsia="MS Mincho" w:cs="Times New Roman"/>
      <w:b/>
      <w:sz w:val="24"/>
      <w:szCs w:val="24"/>
      <w:lang w:eastAsia="ja-JP"/>
    </w:rPr>
  </w:style>
  <w:style w:type="paragraph" w:customStyle="1" w:styleId="40">
    <w:name w:val="Kamus KPI"/>
    <w:basedOn w:val="1"/>
    <w:link w:val="41"/>
    <w:qFormat/>
    <w:uiPriority w:val="0"/>
    <w:pPr>
      <w:spacing w:after="0" w:line="240" w:lineRule="auto"/>
    </w:pPr>
    <w:rPr>
      <w:rFonts w:eastAsia="MS Mincho"/>
      <w:b/>
    </w:rPr>
  </w:style>
  <w:style w:type="character" w:customStyle="1" w:styleId="41">
    <w:name w:val="Kamus KPI Char"/>
    <w:link w:val="40"/>
    <w:qFormat/>
    <w:locked/>
    <w:uiPriority w:val="0"/>
    <w:rPr>
      <w:rFonts w:ascii="Calibri" w:hAnsi="Calibri" w:eastAsia="MS Mincho" w:cs="Times New Roman"/>
      <w:b/>
    </w:rPr>
  </w:style>
  <w:style w:type="table" w:customStyle="1" w:styleId="42">
    <w:name w:val="Grid Table 3 - Accent 31"/>
    <w:basedOn w:val="26"/>
    <w:qFormat/>
    <w:uiPriority w:val="48"/>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Layout w:type="fixed"/>
    </w:tblPr>
    <w:tblStylePr w:type="firstRow">
      <w:rPr>
        <w:b/>
        <w:bCs/>
      </w:rPr>
      <w:tcPr>
        <w:tcBorders>
          <w:top w:val="nil"/>
          <w:left w:val="nil"/>
          <w:right w:val="nil"/>
          <w:insideH w:val="nil"/>
          <w:insideV w:val="nil"/>
        </w:tcBorders>
        <w:shd w:val="clear" w:color="auto" w:fill="FFFFFF"/>
      </w:tcPr>
    </w:tblStylePr>
    <w:tblStylePr w:type="lastRow">
      <w:rPr>
        <w:b/>
        <w:bCs/>
      </w:rPr>
      <w:tcPr>
        <w:tcBorders>
          <w:left w:val="nil"/>
          <w:bottom w:val="nil"/>
          <w:right w:val="nil"/>
          <w:insideH w:val="nil"/>
          <w:insideV w:val="nil"/>
        </w:tcBorders>
        <w:shd w:val="clear" w:color="auto" w:fill="FFFFFF"/>
      </w:tcPr>
    </w:tblStylePr>
    <w:tblStylePr w:type="firstCol">
      <w:pPr>
        <w:jc w:val="right"/>
      </w:pPr>
      <w:rPr>
        <w:i/>
        <w:iCs/>
      </w:rPr>
      <w:tcPr>
        <w:tcBorders>
          <w:top w:val="nil"/>
          <w:left w:val="nil"/>
          <w:bottom w:val="nil"/>
          <w:insideH w:val="nil"/>
          <w:insideV w:val="nil"/>
        </w:tcBorders>
        <w:shd w:val="clear" w:color="auto" w:fill="FFFFFF"/>
      </w:tcPr>
    </w:tblStylePr>
    <w:tblStylePr w:type="lastCol">
      <w:rPr>
        <w:i/>
        <w:iCs/>
      </w:rPr>
      <w:tcPr>
        <w:tcBorders>
          <w:top w:val="nil"/>
          <w:bottom w:val="nil"/>
          <w:right w:val="nil"/>
          <w:insideH w:val="nil"/>
          <w:insideV w:val="nil"/>
        </w:tcBorders>
        <w:shd w:val="clear" w:color="auto" w:fill="FFFFFF"/>
      </w:tcPr>
    </w:tblStylePr>
    <w:tblStylePr w:type="band1Vert">
      <w:tcPr>
        <w:shd w:val="clear" w:color="auto" w:fill="EAF1DD"/>
      </w:tcPr>
    </w:tblStylePr>
    <w:tblStylePr w:type="band1Horz">
      <w:tcPr>
        <w:shd w:val="clear" w:color="auto" w:fill="EAF1DD"/>
      </w:tcPr>
    </w:tblStylePr>
    <w:tblStylePr w:type="neCell">
      <w:tcPr>
        <w:tcBorders>
          <w:bottom w:val="single" w:color="C2D69B" w:sz="4" w:space="0"/>
        </w:tcBorders>
      </w:tcPr>
    </w:tblStylePr>
    <w:tblStylePr w:type="nwCell">
      <w:tcPr>
        <w:tcBorders>
          <w:bottom w:val="single" w:color="C2D69B" w:sz="4" w:space="0"/>
        </w:tcBorders>
      </w:tcPr>
    </w:tblStylePr>
    <w:tblStylePr w:type="seCell">
      <w:tcPr>
        <w:tcBorders>
          <w:top w:val="single" w:color="C2D69B" w:sz="4" w:space="0"/>
        </w:tcBorders>
      </w:tcPr>
    </w:tblStylePr>
    <w:tblStylePr w:type="swCell">
      <w:tcPr>
        <w:tcBorders>
          <w:top w:val="single" w:color="C2D69B" w:sz="4" w:space="0"/>
        </w:tcBorders>
      </w:tcPr>
    </w:tblStylePr>
  </w:style>
  <w:style w:type="table" w:customStyle="1" w:styleId="43">
    <w:name w:val="Grid Table 1 Light - Accent 11"/>
    <w:basedOn w:val="26"/>
    <w:qFormat/>
    <w:uiPriority w:val="46"/>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Layout w:type="fixed"/>
    </w:tblPr>
    <w:tblStylePr w:type="firstRow">
      <w:rPr>
        <w:b/>
        <w:bCs/>
      </w:rPr>
      <w:tcPr>
        <w:tcBorders>
          <w:bottom w:val="single" w:color="95B3D7" w:sz="12" w:space="0"/>
        </w:tcBorders>
      </w:tcPr>
    </w:tblStylePr>
    <w:tblStylePr w:type="lastRow">
      <w:rPr>
        <w:b/>
        <w:bCs/>
      </w:rPr>
      <w:tcPr>
        <w:tcBorders>
          <w:top w:val="double" w:color="95B3D7" w:sz="2" w:space="0"/>
        </w:tcBorders>
      </w:tcPr>
    </w:tblStylePr>
    <w:tblStylePr w:type="firstCol">
      <w:rPr>
        <w:b/>
        <w:bCs/>
      </w:rPr>
    </w:tblStylePr>
    <w:tblStylePr w:type="lastCol">
      <w:rPr>
        <w:b/>
        <w:bCs/>
      </w:rPr>
    </w:tblStylePr>
  </w:style>
  <w:style w:type="table" w:customStyle="1" w:styleId="44">
    <w:name w:val="Grid Table 1 Light - Accent 21"/>
    <w:basedOn w:val="26"/>
    <w:qFormat/>
    <w:uiPriority w:val="46"/>
    <w:tblPr>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Layout w:type="fixed"/>
    </w:tblPr>
    <w:tblStylePr w:type="firstRow">
      <w:rPr>
        <w:b/>
        <w:bCs/>
      </w:rPr>
      <w:tcPr>
        <w:tcBorders>
          <w:bottom w:val="single" w:color="D99594" w:sz="12" w:space="0"/>
        </w:tcBorders>
      </w:tcPr>
    </w:tblStylePr>
    <w:tblStylePr w:type="lastRow">
      <w:rPr>
        <w:b/>
        <w:bCs/>
      </w:rPr>
      <w:tcPr>
        <w:tcBorders>
          <w:top w:val="double" w:color="D99594" w:sz="2" w:space="0"/>
        </w:tcBorders>
      </w:tcPr>
    </w:tblStylePr>
    <w:tblStylePr w:type="firstCol">
      <w:rPr>
        <w:b/>
        <w:bCs/>
      </w:rPr>
    </w:tblStylePr>
    <w:tblStylePr w:type="lastCol">
      <w:rPr>
        <w:b/>
        <w:bCs/>
      </w:rPr>
    </w:tblStylePr>
  </w:style>
  <w:style w:type="table" w:customStyle="1" w:styleId="45">
    <w:name w:val="Grid Table 1 Light1"/>
    <w:basedOn w:val="26"/>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46">
    <w:name w:val="Plain Table 11"/>
    <w:basedOn w:val="26"/>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47">
    <w:name w:val="Table Grid Light1"/>
    <w:basedOn w:val="26"/>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style>
  <w:style w:type="character" w:customStyle="1" w:styleId="48">
    <w:name w:val="Heading 4 Char"/>
    <w:link w:val="5"/>
    <w:qFormat/>
    <w:uiPriority w:val="0"/>
    <w:rPr>
      <w:rFonts w:ascii="Times New Roman" w:hAnsi="Times New Roman"/>
      <w:b/>
      <w:sz w:val="28"/>
    </w:rPr>
  </w:style>
  <w:style w:type="paragraph" w:customStyle="1" w:styleId="49">
    <w:name w:val="xl32"/>
    <w:basedOn w:val="1"/>
    <w:qFormat/>
    <w:uiPriority w:val="0"/>
    <w:pPr>
      <w:pBdr>
        <w:left w:val="single" w:color="auto" w:sz="4" w:space="0"/>
        <w:right w:val="single" w:color="auto" w:sz="4" w:space="0"/>
      </w:pBdr>
      <w:spacing w:before="100" w:beforeAutospacing="1" w:after="100" w:afterAutospacing="1" w:line="240" w:lineRule="auto"/>
      <w:jc w:val="center"/>
    </w:pPr>
    <w:rPr>
      <w:rFonts w:ascii="Times New Roman" w:hAnsi="Times New Roman"/>
      <w:szCs w:val="24"/>
    </w:rPr>
  </w:style>
  <w:style w:type="character" w:customStyle="1" w:styleId="50">
    <w:name w:val="Body Text 3 Char"/>
    <w:link w:val="7"/>
    <w:qFormat/>
    <w:uiPriority w:val="0"/>
    <w:rPr>
      <w:rFonts w:ascii="Times New Roman" w:hAnsi="Times New Roman"/>
      <w:bCs/>
      <w:sz w:val="24"/>
    </w:rPr>
  </w:style>
  <w:style w:type="paragraph" w:customStyle="1" w:styleId="51">
    <w:name w:val="xl58"/>
    <w:basedOn w:val="1"/>
    <w:qFormat/>
    <w:uiPriority w:val="0"/>
    <w:pPr>
      <w:spacing w:before="100" w:beforeAutospacing="1" w:after="100" w:afterAutospacing="1" w:line="240" w:lineRule="auto"/>
    </w:pPr>
    <w:rPr>
      <w:rFonts w:ascii="Times New Roman" w:hAnsi="Times New Roman" w:eastAsia="Arial Unicode MS"/>
      <w:b/>
      <w:bCs/>
      <w:szCs w:val="24"/>
    </w:rPr>
  </w:style>
  <w:style w:type="character" w:customStyle="1" w:styleId="52">
    <w:name w:val="Footnote Text Char"/>
    <w:link w:val="13"/>
    <w:semiHidden/>
    <w:qFormat/>
    <w:uiPriority w:val="0"/>
    <w:rPr>
      <w:rFonts w:ascii="Times New Roman" w:hAnsi="Times New Roman"/>
    </w:rPr>
  </w:style>
  <w:style w:type="table" w:customStyle="1" w:styleId="53">
    <w:name w:val="Table Grid1"/>
    <w:basedOn w:val="26"/>
    <w:qFormat/>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4">
    <w:name w:val="Default"/>
    <w:qFormat/>
    <w:uiPriority w:val="0"/>
    <w:pPr>
      <w:autoSpaceDE w:val="0"/>
      <w:autoSpaceDN w:val="0"/>
      <w:adjustRightInd w:val="0"/>
    </w:pPr>
    <w:rPr>
      <w:rFonts w:ascii="Arial" w:hAnsi="Arial" w:eastAsia="Calibri" w:cs="Arial"/>
      <w:color w:val="000000"/>
      <w:sz w:val="24"/>
      <w:szCs w:val="24"/>
      <w:lang w:val="en-US" w:eastAsia="en-US" w:bidi="ar-SA"/>
    </w:rPr>
  </w:style>
  <w:style w:type="paragraph" w:customStyle="1" w:styleId="55">
    <w:name w:val="Pa1"/>
    <w:basedOn w:val="1"/>
    <w:next w:val="1"/>
    <w:qFormat/>
    <w:uiPriority w:val="99"/>
    <w:pPr>
      <w:autoSpaceDE w:val="0"/>
      <w:autoSpaceDN w:val="0"/>
      <w:adjustRightInd w:val="0"/>
      <w:spacing w:after="0" w:line="241" w:lineRule="atLeast"/>
    </w:pPr>
    <w:rPr>
      <w:rFonts w:ascii="Philosopher" w:hAnsi="Philosopher"/>
      <w:szCs w:val="24"/>
      <w:lang w:val="id-ID" w:eastAsia="id-ID"/>
    </w:rPr>
  </w:style>
  <w:style w:type="character" w:customStyle="1" w:styleId="56">
    <w:name w:val="A1"/>
    <w:qFormat/>
    <w:uiPriority w:val="99"/>
    <w:rPr>
      <w:rFonts w:cs="Philosopher"/>
      <w:color w:val="000000"/>
      <w:sz w:val="20"/>
      <w:szCs w:val="20"/>
    </w:rPr>
  </w:style>
  <w:style w:type="paragraph" w:styleId="57">
    <w:name w:val="No Spacing"/>
    <w:link w:val="58"/>
    <w:qFormat/>
    <w:uiPriority w:val="1"/>
    <w:rPr>
      <w:rFonts w:ascii="Calibri" w:hAnsi="Calibri" w:eastAsia="MS Mincho" w:cs="Times New Roman"/>
      <w:sz w:val="22"/>
      <w:szCs w:val="22"/>
      <w:lang w:val="id-ID" w:eastAsia="ja-JP" w:bidi="ar-SA"/>
    </w:rPr>
  </w:style>
  <w:style w:type="character" w:customStyle="1" w:styleId="58">
    <w:name w:val="No Spacing Char"/>
    <w:link w:val="57"/>
    <w:qFormat/>
    <w:uiPriority w:val="1"/>
    <w:rPr>
      <w:rFonts w:eastAsia="MS Mincho"/>
      <w:sz w:val="22"/>
      <w:szCs w:val="22"/>
      <w:lang w:val="id-ID" w:eastAsia="ja-JP"/>
    </w:rPr>
  </w:style>
  <w:style w:type="character" w:customStyle="1" w:styleId="59">
    <w:name w:val="Tabellenbeschriftung_"/>
    <w:link w:val="60"/>
    <w:qFormat/>
    <w:uiPriority w:val="99"/>
    <w:rPr>
      <w:rFonts w:ascii="Arial" w:hAnsi="Arial" w:cs="Arial"/>
      <w:b/>
      <w:bCs/>
      <w:sz w:val="18"/>
      <w:szCs w:val="18"/>
      <w:shd w:val="clear" w:color="auto" w:fill="FFFFFF"/>
    </w:rPr>
  </w:style>
  <w:style w:type="paragraph" w:customStyle="1" w:styleId="60">
    <w:name w:val="Tabellenbeschriftung"/>
    <w:basedOn w:val="1"/>
    <w:link w:val="59"/>
    <w:qFormat/>
    <w:uiPriority w:val="99"/>
    <w:pPr>
      <w:widowControl w:val="0"/>
      <w:shd w:val="clear" w:color="auto" w:fill="FFFFFF"/>
      <w:spacing w:after="0" w:line="240" w:lineRule="atLeast"/>
    </w:pPr>
    <w:rPr>
      <w:rFonts w:ascii="Arial" w:hAnsi="Arial" w:cs="Arial"/>
      <w:b/>
      <w:bCs/>
      <w:sz w:val="18"/>
      <w:szCs w:val="18"/>
    </w:rPr>
  </w:style>
  <w:style w:type="character" w:customStyle="1" w:styleId="61">
    <w:name w:val="Fließtext_"/>
    <w:link w:val="62"/>
    <w:qFormat/>
    <w:uiPriority w:val="99"/>
    <w:rPr>
      <w:rFonts w:ascii="Arial" w:hAnsi="Arial" w:cs="Arial"/>
      <w:shd w:val="clear" w:color="auto" w:fill="FFFFFF"/>
    </w:rPr>
  </w:style>
  <w:style w:type="paragraph" w:customStyle="1" w:styleId="62">
    <w:name w:val="Fließtext1"/>
    <w:basedOn w:val="1"/>
    <w:link w:val="61"/>
    <w:qFormat/>
    <w:uiPriority w:val="99"/>
    <w:pPr>
      <w:widowControl w:val="0"/>
      <w:shd w:val="clear" w:color="auto" w:fill="FFFFFF"/>
      <w:spacing w:after="0" w:line="240" w:lineRule="atLeast"/>
    </w:pPr>
    <w:rPr>
      <w:rFonts w:ascii="Arial" w:hAnsi="Arial" w:cs="Arial"/>
      <w:sz w:val="20"/>
      <w:szCs w:val="20"/>
    </w:rPr>
  </w:style>
  <w:style w:type="character" w:customStyle="1" w:styleId="63">
    <w:name w:val="Body text (2)_"/>
    <w:link w:val="64"/>
    <w:qFormat/>
    <w:uiPriority w:val="99"/>
    <w:rPr>
      <w:rFonts w:ascii="Arial" w:hAnsi="Arial" w:cs="Arial"/>
      <w:b/>
      <w:bCs/>
      <w:sz w:val="18"/>
      <w:szCs w:val="18"/>
      <w:shd w:val="clear" w:color="auto" w:fill="FFFFFF"/>
    </w:rPr>
  </w:style>
  <w:style w:type="paragraph" w:customStyle="1" w:styleId="64">
    <w:name w:val="Body text (2)"/>
    <w:basedOn w:val="1"/>
    <w:link w:val="63"/>
    <w:qFormat/>
    <w:uiPriority w:val="99"/>
    <w:pPr>
      <w:widowControl w:val="0"/>
      <w:shd w:val="clear" w:color="auto" w:fill="FFFFFF"/>
      <w:spacing w:after="0" w:line="240" w:lineRule="atLeast"/>
      <w:jc w:val="both"/>
    </w:pPr>
    <w:rPr>
      <w:rFonts w:ascii="Arial" w:hAnsi="Arial" w:cs="Arial"/>
      <w:b/>
      <w:bCs/>
      <w:sz w:val="18"/>
      <w:szCs w:val="18"/>
    </w:rPr>
  </w:style>
  <w:style w:type="paragraph" w:customStyle="1" w:styleId="65">
    <w:name w:val="Fließtext"/>
    <w:basedOn w:val="1"/>
    <w:qFormat/>
    <w:uiPriority w:val="99"/>
    <w:pPr>
      <w:widowControl w:val="0"/>
      <w:shd w:val="clear" w:color="auto" w:fill="FFFFFF"/>
      <w:spacing w:after="0" w:line="240" w:lineRule="exact"/>
      <w:ind w:hanging="320"/>
    </w:pPr>
    <w:rPr>
      <w:rFonts w:ascii="Arial" w:hAnsi="Arial" w:cs="Arial"/>
      <w:sz w:val="20"/>
      <w:szCs w:val="20"/>
      <w:lang w:eastAsia="id-ID"/>
    </w:rPr>
  </w:style>
  <w:style w:type="character" w:customStyle="1" w:styleId="66">
    <w:name w:val="apple-converted-space"/>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image" Target="media/image9.emf"/><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8.png"/><Relationship Id="rId17" Type="http://schemas.openxmlformats.org/officeDocument/2006/relationships/image" Target="media/image7.png"/><Relationship Id="rId16" Type="http://schemas.microsoft.com/office/2007/relationships/hdphoto" Target="media/hdphoto1.wdp"/><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07390044139"/>
          <c:y val="0.040385344257936"/>
          <c:w val="0.851696850175419"/>
          <c:h val="0.739058695596095"/>
        </c:manualLayout>
      </c:layout>
      <c:barChart>
        <c:barDir val="col"/>
        <c:grouping val="stacked"/>
        <c:varyColors val="0"/>
        <c:ser>
          <c:idx val="0"/>
          <c:order val="0"/>
          <c:tx>
            <c:strRef>
              <c:f>Sheet1!$B$1</c:f>
              <c:strCache>
                <c:ptCount val="1"/>
                <c:pt idx="0">
                  <c:v>PUSKESMAS</c:v>
                </c:pt>
              </c:strCache>
            </c:strRef>
          </c:tx>
          <c:spPr>
            <a:solidFill>
              <a:schemeClr val="accent1"/>
            </a:solidFill>
            <a:ln>
              <a:noFill/>
            </a:ln>
            <a:effectLst/>
            <a:sp3d/>
          </c:spPr>
          <c:invertIfNegative val="0"/>
          <c:dLbls>
            <c:dLbl>
              <c:idx val="0"/>
              <c:layout>
                <c:manualLayout>
                  <c:x val="0.053388443985189"/>
                  <c:y val="0.0120700060350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110651855679"/>
                  <c:y val="-0.01207000603500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3388443985189"/>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16662361146991"/>
                  <c:y val="-1.10640443859679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19994833376389"/>
                  <c:y val="-0.024140012070006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02772704164051"/>
                  <c:y val="0.061748144791253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lstStyle/>
              <a:p>
                <a:pPr>
                  <a:defRPr lang="en-US" sz="800" b="0"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15:showLeaderLines val="0"/>
                <c15:leaderLines/>
              </c:ext>
            </c:extLst>
          </c:dLbls>
          <c:cat>
            <c:strRef>
              <c:f>Sheet1!$A$2:$A$7</c:f>
              <c:strCache>
                <c:ptCount val="6"/>
                <c:pt idx="0">
                  <c:v>2009</c:v>
                </c:pt>
                <c:pt idx="1">
                  <c:v>2010</c:v>
                </c:pt>
                <c:pt idx="2">
                  <c:v>2011</c:v>
                </c:pt>
                <c:pt idx="3">
                  <c:v>2012</c:v>
                </c:pt>
                <c:pt idx="4">
                  <c:v>2013</c:v>
                </c:pt>
                <c:pt idx="5">
                  <c:v>Sem I 2014</c:v>
                </c:pt>
              </c:strCache>
            </c:strRef>
          </c:cat>
          <c:val>
            <c:numRef>
              <c:f>Sheet1!$B$2:$B$7</c:f>
              <c:numCache>
                <c:formatCode>General</c:formatCode>
                <c:ptCount val="6"/>
                <c:pt idx="0">
                  <c:v>289944</c:v>
                </c:pt>
                <c:pt idx="1">
                  <c:v>249359</c:v>
                </c:pt>
                <c:pt idx="2">
                  <c:v>227752</c:v>
                </c:pt>
                <c:pt idx="3">
                  <c:v>153652</c:v>
                </c:pt>
                <c:pt idx="4">
                  <c:v>22080</c:v>
                </c:pt>
                <c:pt idx="5">
                  <c:v>8315</c:v>
                </c:pt>
              </c:numCache>
            </c:numRef>
          </c:val>
        </c:ser>
        <c:ser>
          <c:idx val="1"/>
          <c:order val="1"/>
          <c:tx>
            <c:strRef>
              <c:f>Sheet1!$C$1</c:f>
              <c:strCache>
                <c:ptCount val="1"/>
                <c:pt idx="0">
                  <c:v>RUJUKAN RS</c:v>
                </c:pt>
              </c:strCache>
            </c:strRef>
          </c:tx>
          <c:spPr>
            <a:solidFill>
              <a:schemeClr val="accent3"/>
            </a:solidFill>
            <a:ln>
              <a:noFill/>
            </a:ln>
            <a:effectLst/>
            <a:sp3d/>
          </c:spPr>
          <c:invertIfNegative val="0"/>
          <c:dLbls>
            <c:dLbl>
              <c:idx val="0"/>
              <c:layout>
                <c:manualLayout>
                  <c:x val="0.0482218203737191"/>
                  <c:y val="0.0663850331925166"/>
                </c:manualLayout>
              </c:layout>
              <c:tx>
                <c:rich>
                  <a:bodyPr rot="0" spcFirstLastPara="1" vertOverflow="ellipsis" vert="horz" wrap="square" lIns="38100" tIns="19050" rIns="38100" bIns="19050" anchor="ctr" anchorCtr="1"/>
                  <a:lstStyle/>
                  <a:p>
                    <a:fld id="{04a154f7-aa03-4c1d-a68c-dc1f1346649e}" type="VALUE">
                      <a:t>[VALUE]</a:t>
                    </a:fld>
                    <a:endParaRPr b="0" i="0" u="none" strike="noStrike" baseline="0">
                      <a:latin typeface="Times New Roman" panose="02020603050405020304" charset="0"/>
                      <a:ea typeface="Times New Roman" panose="02020603050405020304" charset="0"/>
                      <a:cs typeface="+mn-ea"/>
                    </a:endParaRP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3388443985189"/>
                  <c:y val="0.036210018105009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51106518556789"/>
                  <c:y val="0.04828002414001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16662361146991"/>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85550675966588"/>
                  <c:y val="-0.0362100181050091"/>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19995149741655"/>
                  <c:y val="-0.0262199059649919"/>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lstStyle/>
              <a:p>
                <a:pPr>
                  <a:defRPr lang="en-US" sz="800" b="0"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15:showLeaderLines val="0"/>
                <c15:leaderLines/>
              </c:ext>
            </c:extLst>
          </c:dLbls>
          <c:cat>
            <c:strRef>
              <c:f>Sheet1!$A$2:$A$7</c:f>
              <c:strCache>
                <c:ptCount val="6"/>
                <c:pt idx="0">
                  <c:v>2009</c:v>
                </c:pt>
                <c:pt idx="1">
                  <c:v>2010</c:v>
                </c:pt>
                <c:pt idx="2">
                  <c:v>2011</c:v>
                </c:pt>
                <c:pt idx="3">
                  <c:v>2012</c:v>
                </c:pt>
                <c:pt idx="4">
                  <c:v>2013</c:v>
                </c:pt>
                <c:pt idx="5">
                  <c:v>Sem I 2014</c:v>
                </c:pt>
              </c:strCache>
            </c:strRef>
          </c:cat>
          <c:val>
            <c:numRef>
              <c:f>Sheet1!$C$2:$C$7</c:f>
              <c:numCache>
                <c:formatCode>General</c:formatCode>
                <c:ptCount val="6"/>
                <c:pt idx="0">
                  <c:v>29946</c:v>
                </c:pt>
                <c:pt idx="1">
                  <c:v>45168</c:v>
                </c:pt>
                <c:pt idx="2">
                  <c:v>55370</c:v>
                </c:pt>
                <c:pt idx="3">
                  <c:v>101807</c:v>
                </c:pt>
                <c:pt idx="4">
                  <c:v>201157</c:v>
                </c:pt>
                <c:pt idx="5">
                  <c:v>20750</c:v>
                </c:pt>
              </c:numCache>
            </c:numRef>
          </c:val>
        </c:ser>
        <c:ser>
          <c:idx val="2"/>
          <c:order val="2"/>
          <c:tx>
            <c:strRef>
              <c:f>Sheet1!$D$1</c:f>
              <c:strCache>
                <c:ptCount val="1"/>
                <c:pt idx="0">
                  <c:v>DIKIRIM DOKTER</c:v>
                </c:pt>
              </c:strCache>
            </c:strRef>
          </c:tx>
          <c:spPr>
            <a:solidFill>
              <a:schemeClr val="accent5"/>
            </a:solidFill>
            <a:ln>
              <a:noFill/>
            </a:ln>
            <a:effectLst/>
            <a:sp3d/>
          </c:spPr>
          <c:invertIfNegative val="0"/>
          <c:dLbls>
            <c:dLbl>
              <c:idx val="0"/>
              <c:layout>
                <c:manualLayout>
                  <c:x val="0.0516662087657542"/>
                  <c:y val="-0.021582733812949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68327813008844"/>
                  <c:y val="-0.03365263694556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68327813008844"/>
                  <c:y val="-0.043165467625899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33884533235147"/>
                  <c:y val="-0.040846881549878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85550675966589"/>
                  <c:y val="-0.018105009052504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19995149741655"/>
                  <c:y val="-0.11418739024528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0"/>
              <a:lstStyle/>
              <a:p>
                <a:pPr algn="ctr">
                  <a:defRPr lang="en-US" sz="800" b="0"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15:showLeaderLines val="0"/>
                <c15:leaderLines/>
              </c:ext>
            </c:extLst>
          </c:dLbls>
          <c:cat>
            <c:strRef>
              <c:f>Sheet1!$A$2:$A$7</c:f>
              <c:strCache>
                <c:ptCount val="6"/>
                <c:pt idx="0">
                  <c:v>2009</c:v>
                </c:pt>
                <c:pt idx="1">
                  <c:v>2010</c:v>
                </c:pt>
                <c:pt idx="2">
                  <c:v>2011</c:v>
                </c:pt>
                <c:pt idx="3">
                  <c:v>2012</c:v>
                </c:pt>
                <c:pt idx="4">
                  <c:v>2013</c:v>
                </c:pt>
                <c:pt idx="5">
                  <c:v>Sem I 2014</c:v>
                </c:pt>
              </c:strCache>
            </c:strRef>
          </c:cat>
          <c:val>
            <c:numRef>
              <c:f>Sheet1!$D$2:$D$7</c:f>
              <c:numCache>
                <c:formatCode>General</c:formatCode>
                <c:ptCount val="6"/>
                <c:pt idx="0">
                  <c:v>14411</c:v>
                </c:pt>
                <c:pt idx="1">
                  <c:v>14743</c:v>
                </c:pt>
                <c:pt idx="2">
                  <c:v>15161</c:v>
                </c:pt>
                <c:pt idx="3">
                  <c:v>20178</c:v>
                </c:pt>
                <c:pt idx="4">
                  <c:v>24059</c:v>
                </c:pt>
                <c:pt idx="5">
                  <c:v>7257</c:v>
                </c:pt>
              </c:numCache>
            </c:numRef>
          </c:val>
        </c:ser>
        <c:ser>
          <c:idx val="3"/>
          <c:order val="3"/>
          <c:tx>
            <c:strRef>
              <c:f>Sheet1!$E$1</c:f>
              <c:strCache>
                <c:ptCount val="1"/>
                <c:pt idx="0">
                  <c:v>DATANG SENDIRI</c:v>
                </c:pt>
              </c:strCache>
            </c:strRef>
          </c:tx>
          <c:spPr>
            <a:solidFill>
              <a:schemeClr val="accent1">
                <a:lumMod val="60000"/>
              </a:schemeClr>
            </a:solidFill>
            <a:ln>
              <a:noFill/>
            </a:ln>
            <a:effectLst/>
            <a:sp3d/>
          </c:spPr>
          <c:invertIfNegative val="0"/>
          <c:dLbls>
            <c:dLbl>
              <c:idx val="0"/>
              <c:layout>
                <c:manualLayout>
                  <c:x val="0.055110697881275"/>
                  <c:y val="-0.048041126154194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110697881275"/>
                  <c:y val="-0.054076360958477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51106978812751"/>
                  <c:y val="-0.084012349175777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16662087657543"/>
                  <c:y val="-0.0624296153628278"/>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02772754671489"/>
                  <c:y val="-0.030175015087507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02772704164051"/>
                  <c:y val="-0.21306576785815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txPr>
              <a:bodyPr rot="0" spcFirstLastPara="1" vertOverflow="ellipsis" vert="horz" wrap="square" lIns="38100" tIns="19050" rIns="38100" bIns="19050" anchor="ctr" anchorCtr="1"/>
              <a:lstStyle/>
              <a:p>
                <a:pPr>
                  <a:defRPr lang="en-US" sz="800" b="0"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borderCallout2">
                    <a:avLst/>
                  </a:prstGeom>
                  <a:noFill/>
                  <a:ln>
                    <a:noFill/>
                  </a:ln>
                </c15:spPr>
                <c15:layout/>
                <c15:showLeaderLines val="0"/>
                <c15:leaderLines/>
              </c:ext>
            </c:extLst>
          </c:dLbls>
          <c:cat>
            <c:strRef>
              <c:f>Sheet1!$A$2:$A$7</c:f>
              <c:strCache>
                <c:ptCount val="6"/>
                <c:pt idx="0">
                  <c:v>2009</c:v>
                </c:pt>
                <c:pt idx="1">
                  <c:v>2010</c:v>
                </c:pt>
                <c:pt idx="2">
                  <c:v>2011</c:v>
                </c:pt>
                <c:pt idx="3">
                  <c:v>2012</c:v>
                </c:pt>
                <c:pt idx="4">
                  <c:v>2013</c:v>
                </c:pt>
                <c:pt idx="5">
                  <c:v>Sem I 2014</c:v>
                </c:pt>
              </c:strCache>
            </c:strRef>
          </c:cat>
          <c:val>
            <c:numRef>
              <c:f>Sheet1!$E$2:$E$7</c:f>
              <c:numCache>
                <c:formatCode>General</c:formatCode>
                <c:ptCount val="6"/>
                <c:pt idx="0">
                  <c:v>126858</c:v>
                </c:pt>
                <c:pt idx="1">
                  <c:v>138846</c:v>
                </c:pt>
                <c:pt idx="2">
                  <c:v>142370</c:v>
                </c:pt>
                <c:pt idx="3">
                  <c:v>132653</c:v>
                </c:pt>
                <c:pt idx="4">
                  <c:v>145432</c:v>
                </c:pt>
                <c:pt idx="5">
                  <c:v>8440</c:v>
                </c:pt>
              </c:numCache>
            </c:numRef>
          </c:val>
        </c:ser>
        <c:dLbls>
          <c:showLegendKey val="0"/>
          <c:showVal val="0"/>
          <c:showCatName val="0"/>
          <c:showSerName val="0"/>
          <c:showPercent val="0"/>
          <c:showBubbleSize val="0"/>
        </c:dLbls>
        <c:gapWidth val="150"/>
        <c:overlap val="100"/>
        <c:axId val="-1628260400"/>
        <c:axId val="-1628259856"/>
      </c:barChart>
      <c:catAx>
        <c:axId val="-1628260400"/>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vert="horz"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p>
        </c:txPr>
        <c:crossAx val="-1628259856"/>
        <c:crosses val="autoZero"/>
        <c:auto val="1"/>
        <c:lblAlgn val="ctr"/>
        <c:lblOffset val="100"/>
        <c:noMultiLvlLbl val="0"/>
      </c:catAx>
      <c:valAx>
        <c:axId val="-1628259856"/>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vert="horz" wrap="square" anchor="ctr" anchorCtr="1"/>
          <a:lstStyle/>
          <a:p>
            <a:pPr>
              <a:defRPr lang="en-US" sz="900" b="0" i="0" u="none" strike="noStrike" kern="1200" baseline="0">
                <a:solidFill>
                  <a:srgbClr val="000000"/>
                </a:solidFill>
                <a:latin typeface="Calibri" panose="020F0502020204030204"/>
                <a:ea typeface="Calibri" panose="020F0502020204030204"/>
                <a:cs typeface="Calibri" panose="020F0502020204030204"/>
              </a:defRPr>
            </a:pPr>
          </a:p>
        </c:txPr>
        <c:crossAx val="-1628260400"/>
        <c:crosses val="autoZero"/>
        <c:crossBetween val="between"/>
      </c:valAx>
      <c:spPr>
        <a:noFill/>
        <a:ln>
          <a:noFill/>
        </a:ln>
        <a:effectLst/>
      </c:spPr>
    </c:plotArea>
    <c:legend>
      <c:legendPos val="b"/>
      <c:layout>
        <c:manualLayout>
          <c:xMode val="edge"/>
          <c:yMode val="edge"/>
          <c:x val="0.24427609088514"/>
          <c:y val="0.885718008270549"/>
          <c:w val="0.511447657091569"/>
          <c:h val="0.107087747125135"/>
        </c:manualLayout>
      </c:layout>
      <c:overlay val="0"/>
      <c:spPr>
        <a:noFill/>
        <a:ln>
          <a:noFill/>
        </a:ln>
        <a:effectLst/>
      </c:spPr>
      <c:txPr>
        <a:bodyPr rot="0" spcFirstLastPara="1" vertOverflow="ellipsis" vert="horz" wrap="square" anchor="ctr" anchorCtr="1"/>
        <a:lstStyle/>
        <a:p>
          <a:pPr>
            <a:defRPr lang="en-US" sz="735" b="0"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gap"/>
    <c:showDLblsOverMax val="0"/>
  </c:chart>
  <c:spPr>
    <a:solidFill>
      <a:schemeClr val="bg1"/>
    </a:solidFill>
    <a:ln w="6350" cap="flat" cmpd="sng" algn="ctr">
      <a:noFill/>
      <a:prstDash val="solid"/>
      <a:round/>
    </a:ln>
    <a:effectLst/>
  </c:spPr>
  <c:txPr>
    <a:bodyPr/>
    <a:lstStyle/>
    <a:p>
      <a:pPr>
        <a:defRPr lang="en-US" sz="1800" b="0"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8886756238004"/>
          <c:y val="0.0739299610894942"/>
          <c:w val="0.717249190938512"/>
          <c:h val="0.757774861475649"/>
        </c:manualLayout>
      </c:layout>
      <c:barChart>
        <c:barDir val="bar"/>
        <c:grouping val="stacked"/>
        <c:varyColors val="0"/>
        <c:ser>
          <c:idx val="0"/>
          <c:order val="0"/>
          <c:tx>
            <c:strRef>
              <c:f>Sheet1!$A$2</c:f>
              <c:strCache>
                <c:ptCount val="1"/>
                <c:pt idx="0">
                  <c:v>PBI</c:v>
                </c:pt>
              </c:strCache>
            </c:strRef>
          </c:tx>
          <c:spPr>
            <a:solidFill>
              <a:schemeClr val="accent1"/>
            </a:solidFill>
            <a:ln>
              <a:noFill/>
            </a:ln>
            <a:effectLst/>
          </c:spPr>
          <c:invertIfNegative val="0"/>
          <c:dLbls>
            <c:dLbl>
              <c:idx val="0"/>
              <c:layout>
                <c:manualLayout>
                  <c:x val="-0.00970873786407768"/>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Jan</c:v>
                </c:pt>
                <c:pt idx="1">
                  <c:v>Feb</c:v>
                </c:pt>
                <c:pt idx="2">
                  <c:v>Mar</c:v>
                </c:pt>
                <c:pt idx="3">
                  <c:v>Apr</c:v>
                </c:pt>
                <c:pt idx="4">
                  <c:v>Mei</c:v>
                </c:pt>
                <c:pt idx="5">
                  <c:v>Jun</c:v>
                </c:pt>
              </c:strCache>
            </c:strRef>
          </c:cat>
          <c:val>
            <c:numRef>
              <c:f>Sheet1!$B$2:$G$2</c:f>
              <c:numCache>
                <c:formatCode>General</c:formatCode>
                <c:ptCount val="6"/>
                <c:pt idx="0">
                  <c:v>6717</c:v>
                </c:pt>
                <c:pt idx="1">
                  <c:v>6294</c:v>
                </c:pt>
                <c:pt idx="2">
                  <c:v>5320</c:v>
                </c:pt>
                <c:pt idx="3">
                  <c:v>5463</c:v>
                </c:pt>
                <c:pt idx="4">
                  <c:v>4613</c:v>
                </c:pt>
                <c:pt idx="5">
                  <c:v>4909</c:v>
                </c:pt>
              </c:numCache>
            </c:numRef>
          </c:val>
        </c:ser>
        <c:ser>
          <c:idx val="1"/>
          <c:order val="1"/>
          <c:tx>
            <c:strRef>
              <c:f>Sheet1!$A$3</c:f>
              <c:strCache>
                <c:ptCount val="1"/>
                <c:pt idx="0">
                  <c:v>Non PBI</c:v>
                </c:pt>
              </c:strCache>
            </c:strRef>
          </c:tx>
          <c:spPr>
            <a:solidFill>
              <a:schemeClr val="accent3"/>
            </a:solidFill>
            <a:ln>
              <a:noFill/>
            </a:ln>
            <a:effectLst/>
          </c:spPr>
          <c:invertIfNegative val="0"/>
          <c:dLbls>
            <c:dLbl>
              <c:idx val="0"/>
              <c:layout>
                <c:manualLayout>
                  <c:x val="0.0194174757281553"/>
                  <c:y val="-6.79004501761073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Sheet1!$B$1:$G$1</c:f>
              <c:strCache>
                <c:ptCount val="6"/>
                <c:pt idx="0">
                  <c:v>Jan</c:v>
                </c:pt>
                <c:pt idx="1">
                  <c:v>Feb</c:v>
                </c:pt>
                <c:pt idx="2">
                  <c:v>Mar</c:v>
                </c:pt>
                <c:pt idx="3">
                  <c:v>Apr</c:v>
                </c:pt>
                <c:pt idx="4">
                  <c:v>Mei</c:v>
                </c:pt>
                <c:pt idx="5">
                  <c:v>Jun</c:v>
                </c:pt>
              </c:strCache>
            </c:strRef>
          </c:cat>
          <c:val>
            <c:numRef>
              <c:f>Sheet1!$B$3:$G$3</c:f>
              <c:numCache>
                <c:formatCode>General</c:formatCode>
                <c:ptCount val="6"/>
                <c:pt idx="0">
                  <c:v>6616</c:v>
                </c:pt>
                <c:pt idx="1">
                  <c:v>9021</c:v>
                </c:pt>
                <c:pt idx="2">
                  <c:v>8996</c:v>
                </c:pt>
                <c:pt idx="3">
                  <c:v>10413</c:v>
                </c:pt>
                <c:pt idx="4">
                  <c:v>10609</c:v>
                </c:pt>
                <c:pt idx="5">
                  <c:v>13090</c:v>
                </c:pt>
              </c:numCache>
            </c:numRef>
          </c:val>
        </c:ser>
        <c:dLbls>
          <c:showLegendKey val="0"/>
          <c:showVal val="1"/>
          <c:showCatName val="0"/>
          <c:showSerName val="0"/>
          <c:showPercent val="0"/>
          <c:showBubbleSize val="0"/>
        </c:dLbls>
        <c:gapWidth val="150"/>
        <c:overlap val="100"/>
        <c:axId val="-1628254960"/>
        <c:axId val="-1628254416"/>
      </c:barChart>
      <c:catAx>
        <c:axId val="-1628254960"/>
        <c:scaling>
          <c:orientation val="minMax"/>
        </c:scaling>
        <c:delete val="0"/>
        <c:axPos val="l"/>
        <c:numFmt formatCode="General" sourceLinked="1"/>
        <c:majorTickMark val="out"/>
        <c:minorTickMark val="none"/>
        <c:tickLblPos val="low"/>
        <c:spPr>
          <a:noFill/>
          <a:ln w="3171" cap="flat" cmpd="sng" algn="ctr">
            <a:solidFill>
              <a:srgbClr val="000000"/>
            </a:solidFill>
            <a:prstDash val="solid"/>
            <a:round/>
          </a:ln>
          <a:effectLst/>
        </c:spPr>
        <c:txPr>
          <a:bodyPr rot="0" spcFirstLastPara="1"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crossAx val="-1628254416"/>
        <c:crosses val="autoZero"/>
        <c:auto val="1"/>
        <c:lblAlgn val="ctr"/>
        <c:lblOffset val="100"/>
        <c:noMultiLvlLbl val="0"/>
      </c:catAx>
      <c:valAx>
        <c:axId val="-1628254416"/>
        <c:scaling>
          <c:orientation val="minMax"/>
        </c:scaling>
        <c:delete val="0"/>
        <c:axPos val="b"/>
        <c:majorGridlines>
          <c:spPr>
            <a:ln w="3171" cap="flat" cmpd="sng" algn="ctr">
              <a:solidFill>
                <a:srgbClr val="000000"/>
              </a:solidFill>
              <a:prstDash val="solid"/>
              <a:round/>
            </a:ln>
            <a:effectLst/>
          </c:spPr>
        </c:majorGridlines>
        <c:numFmt formatCode="General" sourceLinked="1"/>
        <c:majorTickMark val="out"/>
        <c:minorTickMark val="none"/>
        <c:tickLblPos val="nextTo"/>
        <c:spPr>
          <a:noFill/>
          <a:ln w="3171" cap="flat" cmpd="sng" algn="ctr">
            <a:solidFill>
              <a:srgbClr val="000000"/>
            </a:solidFill>
            <a:prstDash val="solid"/>
            <a:round/>
          </a:ln>
          <a:effectLst/>
        </c:spPr>
        <c:txPr>
          <a:bodyPr rot="0" spcFirstLastPara="1"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p>
        </c:txPr>
        <c:crossAx val="-1628254960"/>
        <c:crosses val="autoZero"/>
        <c:crossBetween val="between"/>
      </c:valAx>
      <c:spPr>
        <a:noFill/>
        <a:ln w="25400">
          <a:noFill/>
        </a:ln>
        <a:effectLst/>
      </c:spPr>
    </c:plotArea>
    <c:legend>
      <c:legendPos val="r"/>
      <c:layout>
        <c:manualLayout>
          <c:xMode val="edge"/>
          <c:yMode val="edge"/>
          <c:x val="0.820067018321739"/>
          <c:y val="0.347608048993876"/>
          <c:w val="0.174429149297514"/>
          <c:h val="0.292788532323512"/>
        </c:manualLayout>
      </c:layout>
      <c:overlay val="0"/>
      <c:spPr>
        <a:noFill/>
        <a:ln>
          <a:noFill/>
        </a:ln>
        <a:effectLst/>
      </c:spPr>
      <c:txPr>
        <a:bodyPr rot="0" spcFirstLastPara="1" vertOverflow="ellipsis" vert="horz" wrap="square" anchor="ctr" anchorCtr="1"/>
        <a:lstStyle/>
        <a:p>
          <a:pPr>
            <a:defRPr lang="en-US" sz="1125" b="1" i="0" u="none" strike="noStrike" kern="1200" baseline="0">
              <a:solidFill>
                <a:srgbClr val="000000"/>
              </a:solidFill>
              <a:latin typeface="Calibri" panose="020F0502020204030204"/>
              <a:ea typeface="Calibri" panose="020F0502020204030204"/>
              <a:cs typeface="Calibri" panose="020F0502020204030204"/>
            </a:defRPr>
          </a:pPr>
        </a:p>
      </c:txPr>
    </c:legend>
    <c:plotVisOnly val="1"/>
    <c:dispBlanksAs val="gap"/>
    <c:showDLblsOverMax val="0"/>
  </c:chart>
  <c:spPr>
    <a:noFill/>
    <a:ln w="6350" cap="flat" cmpd="sng" algn="ctr">
      <a:noFill/>
      <a:prstDash val="solid"/>
      <a:round/>
    </a:ln>
    <a:effectLst/>
  </c:spPr>
  <c:txPr>
    <a:bodyPr/>
    <a:lstStyle/>
    <a:p>
      <a:pPr>
        <a:defRPr lang="en-US" sz="1125" b="1" i="0" u="none" strike="noStrike" baseline="0">
          <a:solidFill>
            <a:srgbClr val="000000"/>
          </a:solidFill>
          <a:latin typeface="Calibri" panose="020F0502020204030204"/>
          <a:ea typeface="Calibri" panose="020F0502020204030204"/>
          <a:cs typeface="Calibri" panose="020F0502020204030204"/>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9667282809612"/>
          <c:y val="0.0868347338935574"/>
          <c:w val="0.885397412199631"/>
          <c:h val="0.627450980392156"/>
        </c:manualLayout>
      </c:layout>
      <c:barChart>
        <c:barDir val="col"/>
        <c:grouping val="clustered"/>
        <c:varyColors val="0"/>
        <c:ser>
          <c:idx val="0"/>
          <c:order val="0"/>
          <c:tx>
            <c:strRef>
              <c:f>Sheet1!$A$2</c:f>
              <c:strCache>
                <c:ptCount val="1"/>
                <c:pt idx="0">
                  <c:v>Skor Kinerja</c:v>
                </c:pt>
              </c:strCache>
            </c:strRef>
          </c:tx>
          <c:spPr>
            <a:solidFill>
              <a:schemeClr val="accent1"/>
            </a:solidFill>
            <a:ln>
              <a:noFill/>
            </a:ln>
            <a:effectLst/>
          </c:spPr>
          <c:invertIfNegative val="0"/>
          <c:dLbls>
            <c:delete val="1"/>
          </c:dLbls>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20</c:v>
                </c:pt>
                <c:pt idx="1">
                  <c:v>20</c:v>
                </c:pt>
                <c:pt idx="2">
                  <c:v>20</c:v>
                </c:pt>
                <c:pt idx="3">
                  <c:v>20</c:v>
                </c:pt>
                <c:pt idx="4">
                  <c:v>30</c:v>
                </c:pt>
              </c:numCache>
            </c:numRef>
          </c:val>
        </c:ser>
        <c:ser>
          <c:idx val="1"/>
          <c:order val="1"/>
          <c:tx>
            <c:strRef>
              <c:f>Sheet1!$A$3</c:f>
              <c:strCache>
                <c:ptCount val="1"/>
                <c:pt idx="0">
                  <c:v>Target</c:v>
                </c:pt>
              </c:strCache>
            </c:strRef>
          </c:tx>
          <c:spPr>
            <a:solidFill>
              <a:schemeClr val="accent3"/>
            </a:solidFill>
            <a:ln>
              <a:noFill/>
            </a:ln>
            <a:effectLst/>
          </c:spPr>
          <c:invertIfNegative val="0"/>
          <c:dLbls>
            <c:delete val="1"/>
          </c:dLbls>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15</c:v>
                </c:pt>
                <c:pt idx="1">
                  <c:v>15</c:v>
                </c:pt>
                <c:pt idx="2">
                  <c:v>15.5</c:v>
                </c:pt>
                <c:pt idx="3">
                  <c:v>16</c:v>
                </c:pt>
                <c:pt idx="4">
                  <c:v>24.75</c:v>
                </c:pt>
              </c:numCache>
            </c:numRef>
          </c:val>
        </c:ser>
        <c:dLbls>
          <c:showLegendKey val="0"/>
          <c:showVal val="0"/>
          <c:showCatName val="0"/>
          <c:showSerName val="0"/>
          <c:showPercent val="0"/>
          <c:showBubbleSize val="0"/>
        </c:dLbls>
        <c:gapWidth val="150"/>
        <c:axId val="-1621782304"/>
        <c:axId val="-1621785024"/>
      </c:barChart>
      <c:lineChart>
        <c:grouping val="standard"/>
        <c:varyColors val="0"/>
        <c:ser>
          <c:idx val="2"/>
          <c:order val="2"/>
          <c:tx>
            <c:strRef>
              <c:f>Sheet1!$A$4</c:f>
              <c:strCache>
                <c:ptCount val="1"/>
                <c:pt idx="0">
                  <c:v>Pencapaian</c:v>
                </c:pt>
              </c:strCache>
            </c:strRef>
          </c:tx>
          <c:spPr>
            <a:ln w="19050" cap="rnd" cmpd="sng" algn="ctr">
              <a:solidFill>
                <a:schemeClr val="accent5"/>
              </a:solidFill>
              <a:prstDash val="solid"/>
              <a:round/>
            </a:ln>
            <a:effectLst/>
          </c:spPr>
          <c:marker>
            <c:symbol val="none"/>
          </c:marker>
          <c:dLbls>
            <c:delete val="1"/>
          </c:dLbls>
          <c:cat>
            <c:numRef>
              <c:f>Sheet1!$B$1:$F$1</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16.5</c:v>
                </c:pt>
                <c:pt idx="1">
                  <c:v>17.7</c:v>
                </c:pt>
                <c:pt idx="2">
                  <c:v>17.2</c:v>
                </c:pt>
                <c:pt idx="3">
                  <c:v>18.4</c:v>
                </c:pt>
                <c:pt idx="4">
                  <c:v>26.25</c:v>
                </c:pt>
              </c:numCache>
            </c:numRef>
          </c:val>
          <c:smooth val="0"/>
        </c:ser>
        <c:dLbls>
          <c:showLegendKey val="0"/>
          <c:showVal val="0"/>
          <c:showCatName val="0"/>
          <c:showSerName val="0"/>
          <c:showPercent val="0"/>
          <c:showBubbleSize val="0"/>
        </c:dLbls>
        <c:marker val="0"/>
        <c:smooth val="0"/>
        <c:axId val="-1621782304"/>
        <c:axId val="-1621785024"/>
      </c:lineChart>
      <c:catAx>
        <c:axId val="-162178230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621785024"/>
        <c:crosses val="autoZero"/>
        <c:auto val="1"/>
        <c:lblAlgn val="ctr"/>
        <c:lblOffset val="100"/>
        <c:noMultiLvlLbl val="0"/>
      </c:catAx>
      <c:valAx>
        <c:axId val="-1621785024"/>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p>
        </c:txPr>
        <c:crossAx val="-1621782304"/>
        <c:crosses val="autoZero"/>
        <c:crossBetween val="between"/>
      </c:valAx>
      <c:spPr>
        <a:solidFill>
          <a:schemeClr val="bg1"/>
        </a:solidFill>
        <a:ln>
          <a:noFill/>
        </a:ln>
        <a:effectLst/>
      </c:spPr>
    </c:plotArea>
    <c:legend>
      <c:legendPos val="b"/>
      <c:layout>
        <c:manualLayout>
          <c:xMode val="edge"/>
          <c:yMode val="edge"/>
          <c:x val="0.216266150941659"/>
          <c:y val="0.893557483623378"/>
          <c:w val="0.533326281166284"/>
          <c:h val="0.0987867434352733"/>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6350" cap="flat" cmpd="sng" algn="ctr">
      <a:noFill/>
      <a:prstDash val="solid"/>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dLbl>
              <c:idx val="2"/>
              <c:layout/>
              <c:tx>
                <c:rich>
                  <a:bodyPr rot="0" spcFirstLastPara="1" vertOverflow="clip" horzOverflow="clip" vert="horz" wrap="square" lIns="38100" tIns="19050" rIns="38100" bIns="19050" anchor="ctr" anchorCtr="1">
                    <a:noAutofit/>
                  </a:bodyPr>
                  <a:lstStyle/>
                  <a:p>
                    <a:fld id="{78c10fa1-8a3f-473b-b3d4-f243f9eef440}" type="VALUE">
                      <a:t>[VALUE]</a:t>
                    </a:fld>
                    <a:endParaRPr b="0" i="0" u="none" strike="noStrike" baseline="0">
                      <a:latin typeface="Times New Roman" panose="02020603050405020304" charset="0"/>
                      <a:ea typeface="Times New Roman" panose="02020603050405020304" charset="0"/>
                      <a:cs typeface="+mn-ea"/>
                    </a:endParaRPr>
                  </a:p>
                </c:rich>
              </c:tx>
              <c:numFmt formatCode="#,##0_);\(#,##0\)" sourceLinked="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lang="en-US"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2010</c:v>
                </c:pt>
                <c:pt idx="1">
                  <c:v>2011</c:v>
                </c:pt>
                <c:pt idx="2">
                  <c:v>2012</c:v>
                </c:pt>
                <c:pt idx="3">
                  <c:v>2013</c:v>
                </c:pt>
                <c:pt idx="4">
                  <c:v>Sem I 2014</c:v>
                </c:pt>
              </c:strCache>
            </c:strRef>
          </c:cat>
          <c:val>
            <c:numRef>
              <c:f>Sheet1!$B$2:$B$6</c:f>
              <c:numCache>
                <c:formatCode>0.00</c:formatCode>
                <c:ptCount val="5"/>
                <c:pt idx="0">
                  <c:v>74.21</c:v>
                </c:pt>
                <c:pt idx="1">
                  <c:v>75.55</c:v>
                </c:pt>
                <c:pt idx="2">
                  <c:v>73.29</c:v>
                </c:pt>
                <c:pt idx="3">
                  <c:v>73.82</c:v>
                </c:pt>
                <c:pt idx="4">
                  <c:v>73</c:v>
                </c:pt>
              </c:numCache>
            </c:numRef>
          </c:val>
        </c:ser>
        <c:dLbls>
          <c:showLegendKey val="0"/>
          <c:showVal val="0"/>
          <c:showCatName val="0"/>
          <c:showSerName val="0"/>
          <c:showPercent val="0"/>
          <c:showBubbleSize val="0"/>
        </c:dLbls>
        <c:gapWidth val="150"/>
        <c:axId val="-1621785568"/>
        <c:axId val="-1621783936"/>
      </c:barChart>
      <c:catAx>
        <c:axId val="-1621785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621783936"/>
        <c:crosses val="autoZero"/>
        <c:auto val="1"/>
        <c:lblAlgn val="ctr"/>
        <c:lblOffset val="100"/>
        <c:noMultiLvlLbl val="0"/>
      </c:catAx>
      <c:valAx>
        <c:axId val="-1621783936"/>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6217855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FFFDC0"/>
      </a:accent1>
      <a:accent2>
        <a:srgbClr val="259073"/>
      </a:accent2>
      <a:accent3>
        <a:srgbClr val="FEAD26"/>
      </a:accent3>
      <a:accent4>
        <a:srgbClr val="CA221F"/>
      </a:accent4>
      <a:accent5>
        <a:srgbClr val="79A687"/>
      </a:accent5>
      <a:accent6>
        <a:srgbClr val="71806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F11348-FAD4-48D3-817C-F030FCBCBBE2}">
  <ds:schemaRefs/>
</ds:datastoreItem>
</file>

<file path=docProps/app.xml><?xml version="1.0" encoding="utf-8"?>
<Properties xmlns="http://schemas.openxmlformats.org/officeDocument/2006/extended-properties" xmlns:vt="http://schemas.openxmlformats.org/officeDocument/2006/docPropsVTypes">
  <Template>Normal</Template>
  <Pages>155</Pages>
  <Words>27680</Words>
  <Characters>180168</Characters>
  <Lines>1575</Lines>
  <Paragraphs>443</Paragraphs>
  <TotalTime>366</TotalTime>
  <ScaleCrop>false</ScaleCrop>
  <LinksUpToDate>false</LinksUpToDate>
  <CharactersWithSpaces>208542</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2018-06-07T03:42:00Z</dcterms:created>
  <dc:creator>Hp</dc:creator>
  <cp:lastModifiedBy>Perencanaan Evaluasi</cp:lastModifiedBy>
  <cp:lastPrinted>2019-04-20T02:31:00Z</cp:lastPrinted>
  <dcterms:modified xsi:type="dcterms:W3CDTF">2019-04-21T10:18:09Z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